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CD183" w14:textId="09D8F656" w:rsidR="006B497C" w:rsidRDefault="00091B16" w:rsidP="00091B16">
      <w:pPr>
        <w:ind w:firstLine="720"/>
        <w:jc w:val="center"/>
        <w:rPr>
          <w:b/>
          <w:bCs/>
        </w:rPr>
      </w:pPr>
      <w:r>
        <w:rPr>
          <w:b/>
          <w:bCs/>
        </w:rPr>
        <w:t xml:space="preserve">The </w:t>
      </w:r>
      <w:r w:rsidR="00D05892" w:rsidRPr="005D06B3">
        <w:rPr>
          <w:b/>
          <w:bCs/>
        </w:rPr>
        <w:t xml:space="preserve">Historical-Critical Study of </w:t>
      </w:r>
      <w:r w:rsidR="00D05892">
        <w:rPr>
          <w:b/>
          <w:bCs/>
        </w:rPr>
        <w:t>Jewish, Christian, and Islamic Scriptures</w:t>
      </w:r>
      <w:r w:rsidR="003D36AF">
        <w:rPr>
          <w:b/>
          <w:bCs/>
        </w:rPr>
        <w:t>*</w:t>
      </w:r>
    </w:p>
    <w:p w14:paraId="7F6E3613" w14:textId="77777777" w:rsidR="008777F0" w:rsidRDefault="008777F0" w:rsidP="005D06B3">
      <w:pPr>
        <w:pStyle w:val="NoSpacing"/>
        <w:jc w:val="center"/>
      </w:pPr>
    </w:p>
    <w:p w14:paraId="421D6C8A" w14:textId="77777777" w:rsidR="005D06B3" w:rsidRDefault="005D06B3" w:rsidP="005D06B3">
      <w:pPr>
        <w:pStyle w:val="NoSpacing"/>
        <w:jc w:val="center"/>
      </w:pPr>
      <w:r>
        <w:t>Isaac W. Oliver</w:t>
      </w:r>
    </w:p>
    <w:p w14:paraId="7DD9CADD" w14:textId="77777777" w:rsidR="005D06B3" w:rsidRDefault="005D06B3" w:rsidP="005D06B3">
      <w:pPr>
        <w:pStyle w:val="NoSpacing"/>
        <w:jc w:val="center"/>
      </w:pPr>
      <w:r>
        <w:t>Bradley University</w:t>
      </w:r>
    </w:p>
    <w:p w14:paraId="27486D3C" w14:textId="77777777" w:rsidR="005D06B3" w:rsidRPr="005D06B3" w:rsidRDefault="005D06B3" w:rsidP="005D06B3">
      <w:pPr>
        <w:pStyle w:val="NoSpacing"/>
      </w:pPr>
    </w:p>
    <w:p w14:paraId="20934E79" w14:textId="56EABD87" w:rsidR="00A451B3" w:rsidRDefault="005D06B3" w:rsidP="00854D3B">
      <w:pPr>
        <w:spacing w:line="480" w:lineRule="auto"/>
        <w:ind w:firstLine="720"/>
        <w:jc w:val="both"/>
      </w:pPr>
      <w:r>
        <w:t xml:space="preserve">The </w:t>
      </w:r>
      <w:r w:rsidR="005672EE">
        <w:t xml:space="preserve">first </w:t>
      </w:r>
      <w:r>
        <w:t>conference</w:t>
      </w:r>
      <w:r w:rsidR="005672EE">
        <w:t xml:space="preserve"> of the Early Islamic Seminar Studies</w:t>
      </w:r>
      <w:r>
        <w:t xml:space="preserve">, </w:t>
      </w:r>
      <w:r w:rsidR="006A605D">
        <w:t xml:space="preserve">which </w:t>
      </w:r>
      <w:r>
        <w:t xml:space="preserve">was held at the beautiful Villa </w:t>
      </w:r>
      <w:proofErr w:type="spellStart"/>
      <w:r>
        <w:t>Cagnola</w:t>
      </w:r>
      <w:proofErr w:type="spellEnd"/>
      <w:r w:rsidR="005672EE">
        <w:t xml:space="preserve"> under the umbrella of the Enoch Seminar</w:t>
      </w:r>
      <w:r>
        <w:t>, was i</w:t>
      </w:r>
      <w:r w:rsidR="004C643E">
        <w:t xml:space="preserve">n many ways </w:t>
      </w:r>
      <w:r w:rsidR="00D46DA2">
        <w:t>exceptional</w:t>
      </w:r>
      <w:r w:rsidR="000B6B2C">
        <w:t>.</w:t>
      </w:r>
      <w:r w:rsidR="004C643E">
        <w:t xml:space="preserve"> </w:t>
      </w:r>
      <w:r w:rsidR="000B6B2C">
        <w:t>It</w:t>
      </w:r>
      <w:r w:rsidR="00D46DA2">
        <w:t xml:space="preserve"> </w:t>
      </w:r>
      <w:r w:rsidR="009F318D">
        <w:t xml:space="preserve">assembled </w:t>
      </w:r>
      <w:r w:rsidR="00D46DA2">
        <w:t xml:space="preserve">regular </w:t>
      </w:r>
      <w:r w:rsidR="000B6B2C">
        <w:t xml:space="preserve">participants </w:t>
      </w:r>
      <w:r w:rsidR="00D46DA2">
        <w:t>of the Enoch Seminar who specialize in early Judaism and Christianity</w:t>
      </w:r>
      <w:r w:rsidR="000B6B2C">
        <w:t xml:space="preserve"> with scholars of early Islam</w:t>
      </w:r>
      <w:r w:rsidR="00D46DA2">
        <w:t xml:space="preserve">. The numerous discussions and presentations confirmed certain </w:t>
      </w:r>
      <w:r w:rsidR="00D46DA2" w:rsidRPr="000B6B2C">
        <w:t xml:space="preserve">premonitions </w:t>
      </w:r>
      <w:r w:rsidR="00D46DA2">
        <w:t xml:space="preserve">I </w:t>
      </w:r>
      <w:r w:rsidR="005672EE">
        <w:t xml:space="preserve">held </w:t>
      </w:r>
      <w:r w:rsidR="00DE2F03">
        <w:t xml:space="preserve">before attending the conference </w:t>
      </w:r>
      <w:r w:rsidR="00D05892">
        <w:t xml:space="preserve">concerning </w:t>
      </w:r>
      <w:r w:rsidR="00D46DA2">
        <w:t xml:space="preserve">the </w:t>
      </w:r>
      <w:r w:rsidR="004C5FC3">
        <w:t xml:space="preserve">state </w:t>
      </w:r>
      <w:r>
        <w:t xml:space="preserve">of the </w:t>
      </w:r>
      <w:r w:rsidR="00A1685C">
        <w:t xml:space="preserve">academic </w:t>
      </w:r>
      <w:r w:rsidR="00D46DA2">
        <w:t xml:space="preserve">investigation </w:t>
      </w:r>
      <w:r w:rsidR="00DE2F03">
        <w:t xml:space="preserve">and instruction </w:t>
      </w:r>
      <w:r w:rsidR="00D46DA2">
        <w:t xml:space="preserve">of </w:t>
      </w:r>
      <w:r w:rsidR="009F318D">
        <w:t xml:space="preserve">early Islam </w:t>
      </w:r>
      <w:r w:rsidR="00DE2F03">
        <w:t xml:space="preserve">in many </w:t>
      </w:r>
      <w:r w:rsidR="00A7378D">
        <w:t>W</w:t>
      </w:r>
      <w:r w:rsidR="005E7E81">
        <w:t xml:space="preserve">estern </w:t>
      </w:r>
      <w:r w:rsidR="00322A20">
        <w:t>institutions</w:t>
      </w:r>
      <w:r w:rsidR="005E0A2F">
        <w:t>, public and private</w:t>
      </w:r>
      <w:r w:rsidR="00DE2F03">
        <w:t xml:space="preserve">. </w:t>
      </w:r>
      <w:r w:rsidR="00A1685C">
        <w:t>The conference reinforced my conviction that early Islam must be studied in conjunction with early Judaism and Christianity</w:t>
      </w:r>
      <w:r w:rsidR="00C95FBF">
        <w:t xml:space="preserve"> as well as oth</w:t>
      </w:r>
      <w:r w:rsidR="004151DB">
        <w:t>er L</w:t>
      </w:r>
      <w:r w:rsidR="00C95FBF">
        <w:t xml:space="preserve">ate </w:t>
      </w:r>
      <w:r w:rsidR="004151DB">
        <w:t>A</w:t>
      </w:r>
      <w:r w:rsidR="00C95FBF">
        <w:t xml:space="preserve">ntique religious </w:t>
      </w:r>
      <w:r w:rsidR="00EB14CE">
        <w:t xml:space="preserve">traditions (Zoroastrianism, </w:t>
      </w:r>
      <w:proofErr w:type="spellStart"/>
      <w:r w:rsidR="00EB14CE">
        <w:t>Mandaeanism</w:t>
      </w:r>
      <w:proofErr w:type="spellEnd"/>
      <w:r w:rsidR="00EB14CE">
        <w:t>, etc.)</w:t>
      </w:r>
      <w:r w:rsidR="00EB3D83">
        <w:t>.</w:t>
      </w:r>
      <w:r w:rsidR="00640CCF">
        <w:rPr>
          <w:rStyle w:val="FootnoteReference"/>
        </w:rPr>
        <w:footnoteReference w:id="1"/>
      </w:r>
      <w:r w:rsidR="00EB3D83">
        <w:t xml:space="preserve"> </w:t>
      </w:r>
      <w:r w:rsidR="00DE2F03">
        <w:t xml:space="preserve">In the following, </w:t>
      </w:r>
      <w:r w:rsidR="0087021D">
        <w:t xml:space="preserve">therefore, </w:t>
      </w:r>
      <w:r w:rsidR="00DE2F03">
        <w:t xml:space="preserve">I </w:t>
      </w:r>
      <w:r w:rsidR="00F70C35">
        <w:t xml:space="preserve">include </w:t>
      </w:r>
      <w:r w:rsidR="009F318D">
        <w:t xml:space="preserve">a modified version of </w:t>
      </w:r>
      <w:r w:rsidR="00EB14CE">
        <w:t xml:space="preserve">my </w:t>
      </w:r>
      <w:r w:rsidR="00DE2F03">
        <w:t xml:space="preserve">response to </w:t>
      </w:r>
      <w:r w:rsidR="009F318D">
        <w:t xml:space="preserve">Guillaume </w:t>
      </w:r>
      <w:r w:rsidR="00DE2F03">
        <w:t>Dye’s paper</w:t>
      </w:r>
      <w:r w:rsidR="0087021D">
        <w:t xml:space="preserve"> </w:t>
      </w:r>
      <w:r w:rsidR="009F318D">
        <w:t>on surah 19</w:t>
      </w:r>
      <w:r w:rsidR="00BF6790">
        <w:t xml:space="preserve"> (published in this same volume)</w:t>
      </w:r>
      <w:r w:rsidR="009F318D">
        <w:t xml:space="preserve"> with the hope that it </w:t>
      </w:r>
      <w:r w:rsidR="0055722D">
        <w:t xml:space="preserve">will </w:t>
      </w:r>
      <w:r w:rsidR="00EB14CE">
        <w:t xml:space="preserve">demonstrate </w:t>
      </w:r>
      <w:r w:rsidR="009F318D">
        <w:t xml:space="preserve">the </w:t>
      </w:r>
      <w:r w:rsidR="00BF6790">
        <w:t xml:space="preserve">academic </w:t>
      </w:r>
      <w:r w:rsidR="009F318D">
        <w:t xml:space="preserve">potential </w:t>
      </w:r>
      <w:r w:rsidR="00BF6790">
        <w:t xml:space="preserve">in promoting </w:t>
      </w:r>
      <w:r w:rsidR="0087021D">
        <w:t xml:space="preserve">scholarly exchange </w:t>
      </w:r>
      <w:r w:rsidR="0055722D">
        <w:t xml:space="preserve">between specialists </w:t>
      </w:r>
      <w:r w:rsidR="00BF6790">
        <w:t xml:space="preserve">working </w:t>
      </w:r>
      <w:r w:rsidR="0055722D">
        <w:t xml:space="preserve">across fields </w:t>
      </w:r>
      <w:r w:rsidR="00721630">
        <w:t xml:space="preserve">as diverse as </w:t>
      </w:r>
      <w:r w:rsidR="0087021D">
        <w:t>Second Temple Judaism, New Testament, early Christianity, early rabbinic literature</w:t>
      </w:r>
      <w:r w:rsidR="0055722D">
        <w:t>,</w:t>
      </w:r>
      <w:r w:rsidR="0087021D">
        <w:t xml:space="preserve"> </w:t>
      </w:r>
      <w:r w:rsidR="0055722D">
        <w:t xml:space="preserve">and </w:t>
      </w:r>
      <w:r w:rsidR="0087021D">
        <w:t xml:space="preserve">early Islamic </w:t>
      </w:r>
      <w:r w:rsidR="00F94A4D">
        <w:t>studies</w:t>
      </w:r>
      <w:r w:rsidR="0055722D">
        <w:t>.</w:t>
      </w:r>
      <w:r w:rsidR="00F94A4D">
        <w:t xml:space="preserve"> </w:t>
      </w:r>
      <w:r w:rsidR="00BF6790">
        <w:t xml:space="preserve">I </w:t>
      </w:r>
      <w:r w:rsidR="00721630">
        <w:t xml:space="preserve">also </w:t>
      </w:r>
      <w:r w:rsidR="00BF6790">
        <w:t xml:space="preserve">take the opportunity here to </w:t>
      </w:r>
      <w:r w:rsidR="00EB14CE">
        <w:t>expand my reflections on the question of historical-criticism</w:t>
      </w:r>
      <w:r w:rsidR="00BF6790">
        <w:t xml:space="preserve"> by drawing from my own </w:t>
      </w:r>
      <w:r w:rsidR="00C4076F">
        <w:t xml:space="preserve">experience </w:t>
      </w:r>
      <w:r w:rsidR="00322A20">
        <w:t xml:space="preserve">teaching </w:t>
      </w:r>
      <w:r w:rsidR="00721630">
        <w:t xml:space="preserve">Jewish, Christian, and Islamic </w:t>
      </w:r>
      <w:r w:rsidR="00322A20">
        <w:t xml:space="preserve">scriptures </w:t>
      </w:r>
      <w:r w:rsidR="00721630">
        <w:t xml:space="preserve">in </w:t>
      </w:r>
      <w:r w:rsidR="004C643E">
        <w:t xml:space="preserve">a non-confessional university in the </w:t>
      </w:r>
      <w:r w:rsidR="000B6B2C">
        <w:t>United States</w:t>
      </w:r>
      <w:r w:rsidR="004C643E">
        <w:t xml:space="preserve">. </w:t>
      </w:r>
      <w:r w:rsidR="00721630">
        <w:lastRenderedPageBreak/>
        <w:t xml:space="preserve">These reflections </w:t>
      </w:r>
      <w:r w:rsidR="00F70C35">
        <w:t xml:space="preserve">include a brief assessment of </w:t>
      </w:r>
      <w:r w:rsidR="003D1562">
        <w:t xml:space="preserve">English </w:t>
      </w:r>
      <w:r w:rsidR="005E7E81">
        <w:t xml:space="preserve">translations </w:t>
      </w:r>
      <w:r w:rsidR="00566353">
        <w:t>of the Qur</w:t>
      </w:r>
      <w:r w:rsidR="002B5DD4">
        <w:t>’</w:t>
      </w:r>
      <w:r w:rsidR="00566353">
        <w:t xml:space="preserve">an </w:t>
      </w:r>
      <w:r w:rsidR="003D1562">
        <w:t xml:space="preserve">and introductory works on early Islam that </w:t>
      </w:r>
      <w:r w:rsidR="003A027A">
        <w:t xml:space="preserve">have been </w:t>
      </w:r>
      <w:r w:rsidR="00F70C35">
        <w:t xml:space="preserve">used </w:t>
      </w:r>
      <w:r w:rsidR="005E7E81">
        <w:t xml:space="preserve">in American universities </w:t>
      </w:r>
      <w:r w:rsidR="00F70C35">
        <w:t xml:space="preserve">at the undergraduate level. </w:t>
      </w:r>
      <w:r w:rsidR="00163734">
        <w:t xml:space="preserve">The realization that few </w:t>
      </w:r>
      <w:r w:rsidR="00F70C35">
        <w:t xml:space="preserve">pedagogical books </w:t>
      </w:r>
      <w:r w:rsidR="005E7E81">
        <w:t xml:space="preserve">treat </w:t>
      </w:r>
      <w:r w:rsidR="00F94A4D">
        <w:t>early Islam in the same way that early Christianity and Judaism are critically presented</w:t>
      </w:r>
      <w:r w:rsidR="00D35311">
        <w:t xml:space="preserve"> in W</w:t>
      </w:r>
      <w:r w:rsidR="003D1562">
        <w:t>estern academies</w:t>
      </w:r>
      <w:r w:rsidR="00F94A4D">
        <w:t xml:space="preserve"> </w:t>
      </w:r>
      <w:r w:rsidR="00163734">
        <w:t xml:space="preserve">then leads into a </w:t>
      </w:r>
      <w:r w:rsidR="00F94A4D">
        <w:t xml:space="preserve">brief </w:t>
      </w:r>
      <w:r w:rsidR="00163734">
        <w:t xml:space="preserve">discussion on </w:t>
      </w:r>
      <w:r w:rsidR="00322A20">
        <w:t xml:space="preserve">the </w:t>
      </w:r>
      <w:r w:rsidR="00F94A4D">
        <w:t xml:space="preserve">delicate issues of </w:t>
      </w:r>
      <w:r w:rsidR="00D35311">
        <w:t>“O</w:t>
      </w:r>
      <w:r w:rsidR="00163734">
        <w:t xml:space="preserve">rientalism” </w:t>
      </w:r>
      <w:r w:rsidR="00322A20">
        <w:t xml:space="preserve">and “anti-Semitism” </w:t>
      </w:r>
      <w:r w:rsidR="00F94A4D">
        <w:t xml:space="preserve">as they relate to </w:t>
      </w:r>
      <w:r w:rsidR="00163734">
        <w:t xml:space="preserve">historical-critical </w:t>
      </w:r>
      <w:r w:rsidR="00F94A4D">
        <w:t>inquiry, on the one hand, and ecumenical endeavors, on the other.</w:t>
      </w:r>
      <w:r w:rsidR="00163734">
        <w:t xml:space="preserve"> </w:t>
      </w:r>
      <w:r w:rsidR="00F94A4D">
        <w:t xml:space="preserve">The </w:t>
      </w:r>
      <w:r w:rsidR="00650B83">
        <w:t>reluctance to apply</w:t>
      </w:r>
      <w:r w:rsidR="00F94A4D">
        <w:t xml:space="preserve"> h</w:t>
      </w:r>
      <w:r w:rsidR="005E0A2F">
        <w:t xml:space="preserve">istorical criticism </w:t>
      </w:r>
      <w:r w:rsidR="003D1562">
        <w:t xml:space="preserve">or </w:t>
      </w:r>
      <w:r w:rsidR="005E0A2F">
        <w:t xml:space="preserve">other critical approaches to the </w:t>
      </w:r>
      <w:r w:rsidR="003D1562">
        <w:t xml:space="preserve">study of the </w:t>
      </w:r>
      <w:r w:rsidR="005E0A2F">
        <w:t>Qur</w:t>
      </w:r>
      <w:r w:rsidR="00A62D59">
        <w:t>’</w:t>
      </w:r>
      <w:r w:rsidR="005E0A2F">
        <w:t xml:space="preserve">an </w:t>
      </w:r>
      <w:r w:rsidR="003D1562">
        <w:t xml:space="preserve">and Islam </w:t>
      </w:r>
      <w:r w:rsidR="00834D0D">
        <w:t xml:space="preserve">is questioned. Besides promoting a better understanding of Islam as a historical, cultural, religious, and social phenomenon, the </w:t>
      </w:r>
      <w:r w:rsidR="002B5DD4">
        <w:t xml:space="preserve">promotion </w:t>
      </w:r>
      <w:r w:rsidR="005E0A2F">
        <w:t xml:space="preserve">of critical </w:t>
      </w:r>
      <w:r w:rsidR="00834D0D">
        <w:t xml:space="preserve">approaches </w:t>
      </w:r>
      <w:r w:rsidR="005E0A2F">
        <w:t>can</w:t>
      </w:r>
      <w:r w:rsidR="00834D0D">
        <w:t>, arguably,</w:t>
      </w:r>
      <w:r w:rsidR="005E0A2F">
        <w:t xml:space="preserve"> </w:t>
      </w:r>
      <w:r w:rsidR="002B5DD4">
        <w:t xml:space="preserve">even </w:t>
      </w:r>
      <w:r w:rsidR="00834D0D">
        <w:t xml:space="preserve">contribute towards </w:t>
      </w:r>
      <w:r w:rsidR="00BF6790">
        <w:t xml:space="preserve">better </w:t>
      </w:r>
      <w:r w:rsidR="00163734">
        <w:t xml:space="preserve">Jewish-Christian-Muslim </w:t>
      </w:r>
      <w:r w:rsidR="003D1562">
        <w:t>understanding</w:t>
      </w:r>
      <w:r w:rsidR="00834D0D">
        <w:t xml:space="preserve">. </w:t>
      </w:r>
      <w:r w:rsidR="00D35311">
        <w:t xml:space="preserve">But </w:t>
      </w:r>
      <w:r w:rsidR="00BF6790">
        <w:t>t</w:t>
      </w:r>
      <w:r w:rsidR="00834D0D">
        <w:t xml:space="preserve">he latter endeavor, </w:t>
      </w:r>
      <w:r w:rsidR="00BF6790">
        <w:t xml:space="preserve">however noble, </w:t>
      </w:r>
      <w:r w:rsidR="00834D0D">
        <w:t xml:space="preserve">should not </w:t>
      </w:r>
      <w:r w:rsidR="00854D3B">
        <w:t xml:space="preserve">theologically nor </w:t>
      </w:r>
      <w:r w:rsidR="002B5DD4">
        <w:t xml:space="preserve">teleologically </w:t>
      </w:r>
      <w:r w:rsidR="00D35311">
        <w:t xml:space="preserve">condition </w:t>
      </w:r>
      <w:r w:rsidR="00834D0D">
        <w:t>historical-critical inquiry</w:t>
      </w:r>
      <w:r w:rsidR="00BF6790">
        <w:t xml:space="preserve"> </w:t>
      </w:r>
      <w:r w:rsidR="002B5DD4">
        <w:t xml:space="preserve">to reach </w:t>
      </w:r>
      <w:r w:rsidR="00D35311">
        <w:t>certain outcome</w:t>
      </w:r>
      <w:r w:rsidR="002B5DD4">
        <w:t>s</w:t>
      </w:r>
      <w:r w:rsidR="00D35311">
        <w:t xml:space="preserve">. </w:t>
      </w:r>
    </w:p>
    <w:p w14:paraId="4E3629DC" w14:textId="77777777" w:rsidR="004C643E" w:rsidRDefault="004C643E" w:rsidP="00DB65C0">
      <w:pPr>
        <w:pStyle w:val="NoSpacing"/>
        <w:spacing w:line="480" w:lineRule="auto"/>
      </w:pPr>
    </w:p>
    <w:p w14:paraId="0EF0B5B7" w14:textId="77777777" w:rsidR="004C643E" w:rsidRPr="004C643E" w:rsidRDefault="004C643E" w:rsidP="00DB65C0">
      <w:pPr>
        <w:pStyle w:val="NoSpacing"/>
        <w:spacing w:line="480" w:lineRule="auto"/>
        <w:rPr>
          <w:b/>
          <w:bCs/>
        </w:rPr>
      </w:pPr>
      <w:r w:rsidRPr="004C643E">
        <w:rPr>
          <w:b/>
          <w:bCs/>
        </w:rPr>
        <w:t>Response to Guillaume Dye’s Paper</w:t>
      </w:r>
    </w:p>
    <w:p w14:paraId="4377EA53" w14:textId="77777777" w:rsidR="004C643E" w:rsidRDefault="004C643E" w:rsidP="00DB65C0">
      <w:pPr>
        <w:pStyle w:val="NoSpacing"/>
        <w:spacing w:line="480" w:lineRule="auto"/>
      </w:pPr>
    </w:p>
    <w:p w14:paraId="6A653882" w14:textId="4E777B44" w:rsidR="00744EDD" w:rsidRDefault="00ED1380" w:rsidP="00DC66CE">
      <w:pPr>
        <w:spacing w:line="480" w:lineRule="auto"/>
        <w:ind w:firstLine="720"/>
        <w:jc w:val="both"/>
      </w:pPr>
      <w:r>
        <w:t xml:space="preserve">Overall, I find </w:t>
      </w:r>
      <w:r w:rsidR="00744EDD">
        <w:t>Dye</w:t>
      </w:r>
      <w:r>
        <w:t xml:space="preserve">’s </w:t>
      </w:r>
      <w:r w:rsidR="00E11933">
        <w:t xml:space="preserve">application </w:t>
      </w:r>
      <w:r>
        <w:t xml:space="preserve">of the </w:t>
      </w:r>
      <w:r w:rsidR="00BB4ED1">
        <w:t>redactional</w:t>
      </w:r>
      <w:r>
        <w:t xml:space="preserve">-critical method </w:t>
      </w:r>
      <w:r w:rsidR="00E11933">
        <w:t>to Q 19:1–63</w:t>
      </w:r>
      <w:r w:rsidR="00642829">
        <w:t xml:space="preserve"> </w:t>
      </w:r>
      <w:r w:rsidR="00E11933">
        <w:t xml:space="preserve">quite </w:t>
      </w:r>
      <w:r w:rsidR="004C643E">
        <w:t>compelling</w:t>
      </w:r>
      <w:r>
        <w:t xml:space="preserve">. </w:t>
      </w:r>
      <w:r w:rsidR="00642829">
        <w:t xml:space="preserve">Dye </w:t>
      </w:r>
      <w:r w:rsidR="000E02E6">
        <w:t xml:space="preserve">avoids the atomistic tendencies that dominated earlier stages of biblical criticism, which tended to obsess over source-critical minutiae and </w:t>
      </w:r>
      <w:r w:rsidR="007B3C94">
        <w:t>conjec</w:t>
      </w:r>
      <w:r w:rsidR="00BB4ED1">
        <w:t>ture</w:t>
      </w:r>
      <w:r w:rsidR="007B3C94">
        <w:t xml:space="preserve"> </w:t>
      </w:r>
      <w:r w:rsidR="00BB4ED1">
        <w:t xml:space="preserve">about </w:t>
      </w:r>
      <w:r w:rsidR="005D06B3">
        <w:t xml:space="preserve">the </w:t>
      </w:r>
      <w:r w:rsidR="000E02E6">
        <w:t xml:space="preserve">diachronic stages </w:t>
      </w:r>
      <w:r w:rsidR="007B3C94">
        <w:t xml:space="preserve">of development of </w:t>
      </w:r>
      <w:r w:rsidR="00BB4ED1">
        <w:t xml:space="preserve">biblical </w:t>
      </w:r>
      <w:r w:rsidR="007B3C94">
        <w:t>text</w:t>
      </w:r>
      <w:r w:rsidR="00BB4ED1">
        <w:t>s</w:t>
      </w:r>
      <w:r w:rsidR="007B3C94">
        <w:t xml:space="preserve"> </w:t>
      </w:r>
      <w:r w:rsidR="009307F8">
        <w:t xml:space="preserve">in the smallest </w:t>
      </w:r>
      <w:r w:rsidR="007B3C94">
        <w:t>detail</w:t>
      </w:r>
      <w:r w:rsidR="009307F8">
        <w:t>,</w:t>
      </w:r>
      <w:r w:rsidR="000E02E6">
        <w:t xml:space="preserve"> even </w:t>
      </w:r>
      <w:r w:rsidR="007B3C94">
        <w:t xml:space="preserve">when dealing with </w:t>
      </w:r>
      <w:r w:rsidR="000E02E6">
        <w:t xml:space="preserve">hypothetical sources </w:t>
      </w:r>
      <w:r w:rsidR="00693563">
        <w:t xml:space="preserve">of the Pentateuch </w:t>
      </w:r>
      <w:r w:rsidR="00535F56">
        <w:t xml:space="preserve">such </w:t>
      </w:r>
      <w:r w:rsidR="000E02E6">
        <w:t xml:space="preserve">as “J” or “E” or the so-called “Q” </w:t>
      </w:r>
      <w:r w:rsidR="00381F2B">
        <w:t>source</w:t>
      </w:r>
      <w:r w:rsidR="003F2714">
        <w:t xml:space="preserve"> </w:t>
      </w:r>
      <w:r w:rsidR="00535F56">
        <w:t xml:space="preserve">standing </w:t>
      </w:r>
      <w:r w:rsidR="000E02E6">
        <w:t xml:space="preserve">behind the synoptic </w:t>
      </w:r>
      <w:r w:rsidR="008F7FF3">
        <w:t>gospels</w:t>
      </w:r>
      <w:r w:rsidR="00535F56">
        <w:t xml:space="preserve"> of Matthew and Luke</w:t>
      </w:r>
      <w:r w:rsidR="000E02E6">
        <w:t>.</w:t>
      </w:r>
      <w:r w:rsidR="00516330">
        <w:rPr>
          <w:rStyle w:val="FootnoteReference"/>
        </w:rPr>
        <w:footnoteReference w:id="2"/>
      </w:r>
      <w:r w:rsidR="000E02E6">
        <w:t xml:space="preserve"> </w:t>
      </w:r>
      <w:r w:rsidR="00744EDD">
        <w:t xml:space="preserve">Dye </w:t>
      </w:r>
      <w:r w:rsidR="00580CC6">
        <w:t xml:space="preserve">admits that it is often impossible to </w:t>
      </w:r>
      <w:r w:rsidR="00580CC6">
        <w:lastRenderedPageBreak/>
        <w:t xml:space="preserve">reconstruct </w:t>
      </w:r>
      <w:r w:rsidR="00580CC6" w:rsidRPr="00580CC6">
        <w:rPr>
          <w:i/>
          <w:iCs/>
        </w:rPr>
        <w:t>every</w:t>
      </w:r>
      <w:r w:rsidR="00580CC6">
        <w:t xml:space="preserve"> historical layer of </w:t>
      </w:r>
      <w:r w:rsidR="00DC66CE">
        <w:t xml:space="preserve">literary </w:t>
      </w:r>
      <w:r w:rsidR="00535F56">
        <w:t xml:space="preserve">production </w:t>
      </w:r>
      <w:r w:rsidR="00580CC6">
        <w:t xml:space="preserve">of a given text. </w:t>
      </w:r>
      <w:r w:rsidR="00E036CA">
        <w:t xml:space="preserve">Even when </w:t>
      </w:r>
      <w:r w:rsidR="00535F56">
        <w:t xml:space="preserve">dealing with </w:t>
      </w:r>
      <w:r w:rsidR="00E036CA">
        <w:t xml:space="preserve">the “original version” of </w:t>
      </w:r>
      <w:r w:rsidR="008F0176">
        <w:t xml:space="preserve">Q </w:t>
      </w:r>
      <w:r w:rsidR="00E036CA">
        <w:t xml:space="preserve">19:1–63, </w:t>
      </w:r>
      <w:r w:rsidR="00535F56">
        <w:t xml:space="preserve">Dye </w:t>
      </w:r>
      <w:r w:rsidR="00812FB2">
        <w:t xml:space="preserve">concedes </w:t>
      </w:r>
      <w:r w:rsidR="00E036CA">
        <w:t xml:space="preserve">that it might not be possible to reconstruct </w:t>
      </w:r>
      <w:r w:rsidR="00812FB2">
        <w:t xml:space="preserve">this </w:t>
      </w:r>
      <w:r w:rsidR="00E036CA">
        <w:t xml:space="preserve">original version in </w:t>
      </w:r>
      <w:r w:rsidR="00BB4ED1">
        <w:t xml:space="preserve">any </w:t>
      </w:r>
      <w:r w:rsidR="00535F56">
        <w:t xml:space="preserve">detail, that the </w:t>
      </w:r>
      <w:r w:rsidR="00E036CA">
        <w:t xml:space="preserve">original version is above all a </w:t>
      </w:r>
      <w:proofErr w:type="spellStart"/>
      <w:r w:rsidR="00E036CA">
        <w:rPr>
          <w:i/>
          <w:iCs/>
        </w:rPr>
        <w:t>Grenzbegriff</w:t>
      </w:r>
      <w:proofErr w:type="spellEnd"/>
      <w:r w:rsidR="00E036CA">
        <w:rPr>
          <w:i/>
          <w:iCs/>
        </w:rPr>
        <w:t xml:space="preserve">. </w:t>
      </w:r>
      <w:r w:rsidR="00E036CA">
        <w:t>On the other hand</w:t>
      </w:r>
      <w:r w:rsidR="000E02E6">
        <w:t xml:space="preserve">, </w:t>
      </w:r>
      <w:r w:rsidR="00744EDD">
        <w:t xml:space="preserve">Dye </w:t>
      </w:r>
      <w:r w:rsidR="000E02E6">
        <w:t xml:space="preserve">does not </w:t>
      </w:r>
      <w:r w:rsidR="00535F56">
        <w:t xml:space="preserve">dismiss </w:t>
      </w:r>
      <w:r w:rsidR="000E02E6">
        <w:t>historical inquiry</w:t>
      </w:r>
      <w:r w:rsidR="00535F56">
        <w:t xml:space="preserve"> entirely</w:t>
      </w:r>
      <w:r w:rsidR="00E036CA">
        <w:t xml:space="preserve">, nor </w:t>
      </w:r>
      <w:r w:rsidR="00BB4ED1">
        <w:t xml:space="preserve">does he </w:t>
      </w:r>
      <w:r w:rsidR="00E036CA">
        <w:t xml:space="preserve">shy away from making some specific observations about the Quranic pericope </w:t>
      </w:r>
      <w:r w:rsidR="00744EDD">
        <w:t>he investigates</w:t>
      </w:r>
      <w:r w:rsidR="00580CC6">
        <w:t xml:space="preserve">. </w:t>
      </w:r>
      <w:r w:rsidR="00744EDD">
        <w:t xml:space="preserve">Dye </w:t>
      </w:r>
      <w:r w:rsidR="00580CC6">
        <w:t xml:space="preserve">asserts that redaction criticism </w:t>
      </w:r>
      <w:r w:rsidR="00580CC6" w:rsidRPr="00580CC6">
        <w:rPr>
          <w:i/>
          <w:iCs/>
        </w:rPr>
        <w:t>can</w:t>
      </w:r>
      <w:r w:rsidR="00580CC6">
        <w:t xml:space="preserve"> work and is reliable</w:t>
      </w:r>
      <w:r w:rsidR="00381F2B">
        <w:t>, when properly performed</w:t>
      </w:r>
      <w:r w:rsidR="00580CC6">
        <w:t xml:space="preserve">. </w:t>
      </w:r>
    </w:p>
    <w:p w14:paraId="4835C292" w14:textId="58C0CB73" w:rsidR="006E2544" w:rsidRDefault="00642829" w:rsidP="00DC66CE">
      <w:pPr>
        <w:spacing w:line="480" w:lineRule="auto"/>
        <w:ind w:firstLine="720"/>
        <w:jc w:val="both"/>
      </w:pPr>
      <w:r>
        <w:t xml:space="preserve">Affirming </w:t>
      </w:r>
      <w:r w:rsidR="00634665">
        <w:t xml:space="preserve">Dye’s </w:t>
      </w:r>
      <w:r w:rsidR="00900404">
        <w:t xml:space="preserve">general </w:t>
      </w:r>
      <w:r w:rsidR="00DC66CE">
        <w:t>stance</w:t>
      </w:r>
      <w:r w:rsidR="00634665">
        <w:t xml:space="preserve">, I would like to </w:t>
      </w:r>
      <w:r w:rsidR="00900404">
        <w:t xml:space="preserve">stress </w:t>
      </w:r>
      <w:r w:rsidR="00634665">
        <w:t xml:space="preserve">that </w:t>
      </w:r>
      <w:r>
        <w:t xml:space="preserve">redaction criticism </w:t>
      </w:r>
      <w:r w:rsidR="00580CC6">
        <w:t>has</w:t>
      </w:r>
      <w:r w:rsidR="009307F8">
        <w:t xml:space="preserve">, </w:t>
      </w:r>
      <w:r w:rsidR="00AC396F">
        <w:t>along with other historical-critical approaches</w:t>
      </w:r>
      <w:r w:rsidR="00744EDD">
        <w:t xml:space="preserve"> (e.g., </w:t>
      </w:r>
      <w:r w:rsidR="00124ACE">
        <w:t>s</w:t>
      </w:r>
      <w:r w:rsidR="00744EDD">
        <w:t xml:space="preserve">ource </w:t>
      </w:r>
      <w:r w:rsidR="00124ACE">
        <w:t>c</w:t>
      </w:r>
      <w:r w:rsidR="00744EDD">
        <w:t xml:space="preserve">riticism and </w:t>
      </w:r>
      <w:r w:rsidR="00124ACE">
        <w:t>f</w:t>
      </w:r>
      <w:r w:rsidR="00744EDD">
        <w:t>orm criticism)</w:t>
      </w:r>
      <w:r w:rsidR="009307F8">
        <w:t>,</w:t>
      </w:r>
      <w:r w:rsidR="00580CC6">
        <w:t xml:space="preserve"> </w:t>
      </w:r>
      <w:r>
        <w:t>demonstrated</w:t>
      </w:r>
      <w:r w:rsidR="009307F8">
        <w:t xml:space="preserve"> that the Pentateuch and the canonical gospels are composite works. </w:t>
      </w:r>
      <w:r w:rsidR="00A723E6">
        <w:t xml:space="preserve">This is no small achievement. </w:t>
      </w:r>
      <w:r w:rsidR="009307F8" w:rsidRPr="00900404">
        <w:t>All historians</w:t>
      </w:r>
      <w:r w:rsidR="009307F8">
        <w:rPr>
          <w:i/>
          <w:iCs/>
        </w:rPr>
        <w:t xml:space="preserve"> </w:t>
      </w:r>
      <w:r w:rsidR="009307F8">
        <w:t xml:space="preserve">of the Hebrew Bible agree that the Pentateuch was not written by Moses but is a complex, composite, and even contradictory text </w:t>
      </w:r>
      <w:r w:rsidR="00BD71DC">
        <w:t xml:space="preserve">produced </w:t>
      </w:r>
      <w:r w:rsidR="009307F8">
        <w:t xml:space="preserve">by various schools that stretched over a wide span of time. </w:t>
      </w:r>
      <w:r w:rsidR="00900404">
        <w:t>Since the rise of historical criticism, n</w:t>
      </w:r>
      <w:r w:rsidR="00124ACE">
        <w:t xml:space="preserve">o one </w:t>
      </w:r>
      <w:r w:rsidR="005D06B3">
        <w:t xml:space="preserve">has </w:t>
      </w:r>
      <w:r w:rsidR="00124ACE">
        <w:t>demonstrate</w:t>
      </w:r>
      <w:r w:rsidR="005D06B3">
        <w:t>d</w:t>
      </w:r>
      <w:r w:rsidR="00060D90">
        <w:t>—f</w:t>
      </w:r>
      <w:r w:rsidR="00124ACE">
        <w:t xml:space="preserve">rom a </w:t>
      </w:r>
      <w:r w:rsidR="00124ACE" w:rsidRPr="00060D90">
        <w:t>historical point of view</w:t>
      </w:r>
      <w:r w:rsidR="00060D90">
        <w:t>—t</w:t>
      </w:r>
      <w:r w:rsidR="00124ACE">
        <w:t xml:space="preserve">hat </w:t>
      </w:r>
      <w:r w:rsidR="00B668AA">
        <w:t>“</w:t>
      </w:r>
      <w:r w:rsidR="00124ACE">
        <w:t>Moses received Torah at Sinai</w:t>
      </w:r>
      <w:r w:rsidR="00634665">
        <w:t>,</w:t>
      </w:r>
      <w:r w:rsidR="00B668AA">
        <w:t>”</w:t>
      </w:r>
      <w:r w:rsidR="00634665">
        <w:t xml:space="preserve"> as one rabbinic dictum </w:t>
      </w:r>
      <w:r w:rsidR="00900404">
        <w:t xml:space="preserve">famously </w:t>
      </w:r>
      <w:r w:rsidR="00634665">
        <w:t>puts it</w:t>
      </w:r>
      <w:r w:rsidR="008F0176">
        <w:t xml:space="preserve">, even </w:t>
      </w:r>
      <w:r>
        <w:t xml:space="preserve">though </w:t>
      </w:r>
      <w:r w:rsidR="008F0176">
        <w:t xml:space="preserve">most Jews and Christians believed in its Mosaic authorship </w:t>
      </w:r>
      <w:r w:rsidR="00DC66CE">
        <w:t xml:space="preserve">throughout the </w:t>
      </w:r>
      <w:r w:rsidR="008F0176">
        <w:t>centuries until the rise of modernity</w:t>
      </w:r>
      <w:r w:rsidR="00634665">
        <w:t>.</w:t>
      </w:r>
      <w:r w:rsidR="00124ACE">
        <w:rPr>
          <w:rStyle w:val="FootnoteReference"/>
        </w:rPr>
        <w:footnoteReference w:id="3"/>
      </w:r>
      <w:r w:rsidR="00124ACE">
        <w:t xml:space="preserve"> </w:t>
      </w:r>
      <w:r w:rsidR="001F409A">
        <w:t>T</w:t>
      </w:r>
      <w:r w:rsidR="009307F8">
        <w:t>he case of the canonical gospels</w:t>
      </w:r>
      <w:r w:rsidR="00E036CA">
        <w:t xml:space="preserve"> </w:t>
      </w:r>
      <w:r w:rsidR="009307F8">
        <w:t xml:space="preserve">is </w:t>
      </w:r>
      <w:r w:rsidR="00BB4ED1">
        <w:t xml:space="preserve">probably </w:t>
      </w:r>
      <w:r w:rsidR="001F409A">
        <w:t xml:space="preserve">even </w:t>
      </w:r>
      <w:r w:rsidR="009307F8">
        <w:t xml:space="preserve">more apropos </w:t>
      </w:r>
      <w:r w:rsidR="000B6B2C">
        <w:t xml:space="preserve">as a comparison to </w:t>
      </w:r>
      <w:r w:rsidR="009307F8">
        <w:t xml:space="preserve">the historical investigation </w:t>
      </w:r>
      <w:r w:rsidR="00AE7E32">
        <w:t xml:space="preserve">of the Qur’an and </w:t>
      </w:r>
      <w:r w:rsidR="009307F8">
        <w:t xml:space="preserve">the </w:t>
      </w:r>
      <w:r w:rsidR="00B668AA">
        <w:t>life of Muhammad</w:t>
      </w:r>
      <w:r w:rsidR="009307F8">
        <w:t xml:space="preserve">: a century at best separates the </w:t>
      </w:r>
      <w:r w:rsidR="00812FB2">
        <w:t xml:space="preserve">composition of the </w:t>
      </w:r>
      <w:r w:rsidR="009307F8">
        <w:t xml:space="preserve">canonical gospels in their final form from the death of </w:t>
      </w:r>
      <w:r w:rsidR="00812FB2">
        <w:t xml:space="preserve">the historical </w:t>
      </w:r>
      <w:r w:rsidR="009307F8">
        <w:t>Jesus</w:t>
      </w:r>
      <w:r w:rsidR="001301B1">
        <w:t>.</w:t>
      </w:r>
      <w:r w:rsidR="00C21081">
        <w:t xml:space="preserve"> </w:t>
      </w:r>
      <w:r w:rsidR="00AE7E32">
        <w:t xml:space="preserve">Yet </w:t>
      </w:r>
      <w:r w:rsidR="001301B1">
        <w:t>n</w:t>
      </w:r>
      <w:r w:rsidR="00C21081">
        <w:t xml:space="preserve">o historian of early Christianity </w:t>
      </w:r>
      <w:r w:rsidR="00AE7E32">
        <w:t xml:space="preserve">will </w:t>
      </w:r>
      <w:r w:rsidR="00C21081">
        <w:t>accept</w:t>
      </w:r>
      <w:r w:rsidR="00B668AA">
        <w:t>,</w:t>
      </w:r>
      <w:r w:rsidR="00C21081">
        <w:t xml:space="preserve"> </w:t>
      </w:r>
      <w:r w:rsidR="00812FB2">
        <w:t>without questioning</w:t>
      </w:r>
      <w:r w:rsidR="00B668AA">
        <w:t>,</w:t>
      </w:r>
      <w:r w:rsidR="00812FB2">
        <w:t xml:space="preserve"> </w:t>
      </w:r>
      <w:r w:rsidR="00C21081">
        <w:t xml:space="preserve">the </w:t>
      </w:r>
      <w:r w:rsidR="00AE7E32">
        <w:t xml:space="preserve">traditional </w:t>
      </w:r>
      <w:r w:rsidR="00C21081">
        <w:t xml:space="preserve">accounts concerning the historical </w:t>
      </w:r>
      <w:r w:rsidR="00E036CA">
        <w:lastRenderedPageBreak/>
        <w:t xml:space="preserve">genesis and </w:t>
      </w:r>
      <w:r w:rsidR="00C21081">
        <w:t>formation</w:t>
      </w:r>
      <w:r w:rsidR="00812FB2">
        <w:t xml:space="preserve"> of said gospels</w:t>
      </w:r>
      <w:r w:rsidR="00C21081">
        <w:t xml:space="preserve">. </w:t>
      </w:r>
      <w:r w:rsidR="009307F8">
        <w:t xml:space="preserve"> </w:t>
      </w:r>
      <w:r w:rsidR="00BB4ED1">
        <w:t xml:space="preserve">For example, </w:t>
      </w:r>
      <w:r w:rsidR="00381F2B">
        <w:t xml:space="preserve">historians of early Christianity do not accept </w:t>
      </w:r>
      <w:r w:rsidR="001301B1">
        <w:t xml:space="preserve">without questioning </w:t>
      </w:r>
      <w:r w:rsidR="00C42987">
        <w:t xml:space="preserve">Papias’ </w:t>
      </w:r>
      <w:r w:rsidR="00E036CA">
        <w:t xml:space="preserve">claim </w:t>
      </w:r>
      <w:r w:rsidR="00C42987">
        <w:t>(second century C</w:t>
      </w:r>
      <w:r w:rsidR="00900BCE">
        <w:t>.</w:t>
      </w:r>
      <w:r w:rsidR="00C42987">
        <w:t>E</w:t>
      </w:r>
      <w:r w:rsidR="00900BCE">
        <w:t>.</w:t>
      </w:r>
      <w:r w:rsidR="00C42987">
        <w:t xml:space="preserve">) </w:t>
      </w:r>
      <w:r w:rsidR="00381F2B">
        <w:t xml:space="preserve">that </w:t>
      </w:r>
      <w:r w:rsidR="00C21081">
        <w:t>Peter dictate</w:t>
      </w:r>
      <w:r w:rsidR="00381F2B">
        <w:t>d</w:t>
      </w:r>
      <w:r w:rsidR="00C21081">
        <w:t xml:space="preserve"> </w:t>
      </w:r>
      <w:r w:rsidR="00BB4ED1">
        <w:t xml:space="preserve">an </w:t>
      </w:r>
      <w:r w:rsidR="00C21081">
        <w:t xml:space="preserve">eyewitness account of </w:t>
      </w:r>
      <w:r w:rsidR="00381F2B">
        <w:t xml:space="preserve">Jesus’ life </w:t>
      </w:r>
      <w:r w:rsidR="00A77B69">
        <w:t xml:space="preserve">to Mark who </w:t>
      </w:r>
      <w:r w:rsidR="00BB4ED1">
        <w:t xml:space="preserve">then recorded </w:t>
      </w:r>
      <w:r w:rsidR="00A77B69">
        <w:t xml:space="preserve">these materials </w:t>
      </w:r>
      <w:r w:rsidR="00BB4ED1">
        <w:t xml:space="preserve">in </w:t>
      </w:r>
      <w:r w:rsidR="00A77B69">
        <w:t>writing.</w:t>
      </w:r>
      <w:r w:rsidR="00B668AA">
        <w:rPr>
          <w:rStyle w:val="FootnoteReference"/>
        </w:rPr>
        <w:footnoteReference w:id="4"/>
      </w:r>
      <w:r w:rsidR="00A77B69">
        <w:t xml:space="preserve"> </w:t>
      </w:r>
      <w:r w:rsidR="00381F2B">
        <w:t xml:space="preserve">Similarly, it </w:t>
      </w:r>
      <w:r w:rsidR="008F0176">
        <w:t xml:space="preserve">is hardly </w:t>
      </w:r>
      <w:r w:rsidR="00381F2B">
        <w:t xml:space="preserve">maintained, from a historical point of view, that </w:t>
      </w:r>
      <w:r w:rsidR="00A77B69" w:rsidRPr="00381F2B">
        <w:rPr>
          <w:i/>
          <w:iCs/>
        </w:rPr>
        <w:t>Matthew</w:t>
      </w:r>
      <w:r w:rsidR="00381F2B">
        <w:t xml:space="preserve">, the actual </w:t>
      </w:r>
      <w:r w:rsidR="00BB4ED1">
        <w:t xml:space="preserve">disciple </w:t>
      </w:r>
      <w:r w:rsidR="00381F2B">
        <w:t>of Jesus,</w:t>
      </w:r>
      <w:r w:rsidR="00A77B69">
        <w:t xml:space="preserve"> </w:t>
      </w:r>
      <w:r w:rsidR="00381F2B">
        <w:t xml:space="preserve">wrote </w:t>
      </w:r>
      <w:r w:rsidR="00A77B69">
        <w:t xml:space="preserve">the gospel </w:t>
      </w:r>
      <w:r w:rsidR="00C42987">
        <w:t>that now bears his name</w:t>
      </w:r>
      <w:r w:rsidR="00A77B69">
        <w:t xml:space="preserve">. </w:t>
      </w:r>
      <w:r w:rsidR="001F409A">
        <w:t xml:space="preserve">The same </w:t>
      </w:r>
      <w:r w:rsidR="00DC66CE">
        <w:t>observations would apply</w:t>
      </w:r>
      <w:r w:rsidR="001F409A">
        <w:t xml:space="preserve"> to the gospels of Luke and John.</w:t>
      </w:r>
    </w:p>
    <w:p w14:paraId="517631BB" w14:textId="2E37675E" w:rsidR="00B621B6" w:rsidRDefault="00381F2B" w:rsidP="001D4D07">
      <w:pPr>
        <w:spacing w:line="480" w:lineRule="auto"/>
        <w:ind w:firstLine="720"/>
        <w:jc w:val="both"/>
      </w:pPr>
      <w:r>
        <w:t>Specialists of the Hebrew Bible and the New Testament would certainly yawn at all of the assertions just made</w:t>
      </w:r>
      <w:r w:rsidR="00E036CA">
        <w:t>, but it is worthwhile recalling</w:t>
      </w:r>
      <w:r w:rsidR="001F409A">
        <w:t xml:space="preserve"> them, since Dye’s paper deals with the Qur</w:t>
      </w:r>
      <w:r w:rsidR="00AE7E32">
        <w:t>’</w:t>
      </w:r>
      <w:r w:rsidR="001F409A">
        <w:t>an</w:t>
      </w:r>
      <w:r w:rsidR="00A14CF2">
        <w:t>—</w:t>
      </w:r>
      <w:r w:rsidR="001F409A">
        <w:t>a canonical text</w:t>
      </w:r>
      <w:r w:rsidR="00DC66CE">
        <w:t>—w</w:t>
      </w:r>
      <w:r w:rsidR="001F409A">
        <w:t>hich</w:t>
      </w:r>
      <w:r w:rsidR="00DC66CE">
        <w:t>,</w:t>
      </w:r>
      <w:r w:rsidR="001F409A">
        <w:t xml:space="preserve"> like </w:t>
      </w:r>
      <w:r>
        <w:t xml:space="preserve">the </w:t>
      </w:r>
      <w:r w:rsidR="00A77B69">
        <w:t>gospels</w:t>
      </w:r>
      <w:r w:rsidR="001F409A">
        <w:t xml:space="preserve"> of the New Testament</w:t>
      </w:r>
      <w:r w:rsidR="00DC66CE">
        <w:t>,</w:t>
      </w:r>
      <w:r w:rsidR="00A77B69">
        <w:t xml:space="preserve"> </w:t>
      </w:r>
      <w:r w:rsidR="001F409A">
        <w:t xml:space="preserve">is an </w:t>
      </w:r>
      <w:r w:rsidR="00A77B69">
        <w:rPr>
          <w:i/>
          <w:iCs/>
        </w:rPr>
        <w:t xml:space="preserve">anonymous </w:t>
      </w:r>
      <w:r w:rsidR="001F409A">
        <w:t>work</w:t>
      </w:r>
      <w:r w:rsidR="00DC66CE">
        <w:t>,</w:t>
      </w:r>
      <w:r w:rsidR="001F409A">
        <w:t xml:space="preserve"> </w:t>
      </w:r>
      <w:r w:rsidR="00634665">
        <w:t>contain</w:t>
      </w:r>
      <w:r w:rsidR="00AE7E32">
        <w:t>ing</w:t>
      </w:r>
      <w:r w:rsidR="00634665">
        <w:t xml:space="preserve"> </w:t>
      </w:r>
      <w:r w:rsidR="00060D90">
        <w:t xml:space="preserve">materials expressing </w:t>
      </w:r>
      <w:r w:rsidR="00C42987">
        <w:t xml:space="preserve">diverse viewpoints stemming from different </w:t>
      </w:r>
      <w:r w:rsidR="008A33E6">
        <w:t>sources</w:t>
      </w:r>
      <w:r w:rsidR="00344BA3">
        <w:t>. The methods of s</w:t>
      </w:r>
      <w:r w:rsidR="00A77B69">
        <w:t xml:space="preserve">ource </w:t>
      </w:r>
      <w:r w:rsidR="00344BA3">
        <w:t>c</w:t>
      </w:r>
      <w:r w:rsidR="00A77B69">
        <w:t xml:space="preserve">riticism, </w:t>
      </w:r>
      <w:r w:rsidR="00344BA3">
        <w:t>f</w:t>
      </w:r>
      <w:r w:rsidR="00A77B69">
        <w:t xml:space="preserve">orm </w:t>
      </w:r>
      <w:r w:rsidR="00344BA3">
        <w:t>c</w:t>
      </w:r>
      <w:r w:rsidR="00A77B69">
        <w:t xml:space="preserve">riticism, and </w:t>
      </w:r>
      <w:r w:rsidR="00344BA3">
        <w:t>r</w:t>
      </w:r>
      <w:r w:rsidR="001F409A">
        <w:t>edaction c</w:t>
      </w:r>
      <w:r w:rsidR="00A77B69">
        <w:t>riticism have demonstrated beyond reasonable doubt that the canonical gospels</w:t>
      </w:r>
      <w:r w:rsidR="00B317F6">
        <w:t xml:space="preserve">, despite their </w:t>
      </w:r>
      <w:r w:rsidR="00060D90">
        <w:t xml:space="preserve">relatively </w:t>
      </w:r>
      <w:r w:rsidR="00B317F6">
        <w:t xml:space="preserve">short </w:t>
      </w:r>
      <w:r w:rsidR="00BB4ED1">
        <w:t xml:space="preserve">compositional </w:t>
      </w:r>
      <w:r w:rsidR="00B317F6">
        <w:t>life,</w:t>
      </w:r>
      <w:r w:rsidR="00A77B69">
        <w:t xml:space="preserve"> </w:t>
      </w:r>
      <w:r w:rsidR="00B317F6">
        <w:t xml:space="preserve">underwent several stages of development </w:t>
      </w:r>
      <w:r w:rsidR="00A77B69">
        <w:t>that include</w:t>
      </w:r>
      <w:r w:rsidR="00BF7773">
        <w:t>d</w:t>
      </w:r>
      <w:r w:rsidR="00A77B69">
        <w:t>, among other things</w:t>
      </w:r>
      <w:r w:rsidR="00634665">
        <w:t>,</w:t>
      </w:r>
      <w:r w:rsidR="001F409A">
        <w:t xml:space="preserve"> the </w:t>
      </w:r>
      <w:r w:rsidR="00A77B69">
        <w:t xml:space="preserve">oral transmission of materials </w:t>
      </w:r>
      <w:r w:rsidR="00DC66CE">
        <w:t xml:space="preserve">originally formulated </w:t>
      </w:r>
      <w:r w:rsidR="00C42987">
        <w:t>in Hebrew or Aramaic</w:t>
      </w:r>
      <w:r w:rsidR="00060D90">
        <w:t xml:space="preserve"> </w:t>
      </w:r>
      <w:r w:rsidR="00DC66CE">
        <w:t xml:space="preserve">that were then </w:t>
      </w:r>
      <w:r w:rsidR="00AF73B2">
        <w:t xml:space="preserve">translated </w:t>
      </w:r>
      <w:r w:rsidR="0020737A">
        <w:t>in</w:t>
      </w:r>
      <w:r w:rsidR="00A77B69">
        <w:t xml:space="preserve">to Greek, </w:t>
      </w:r>
      <w:r w:rsidR="00DC66CE">
        <w:t xml:space="preserve">only to be further </w:t>
      </w:r>
      <w:r w:rsidR="0020737A">
        <w:t xml:space="preserve">modified, deleted, </w:t>
      </w:r>
      <w:r w:rsidR="00DC66CE">
        <w:t xml:space="preserve">and </w:t>
      </w:r>
      <w:r w:rsidR="0020737A">
        <w:t>expanded</w:t>
      </w:r>
      <w:r w:rsidR="00B317F6">
        <w:t xml:space="preserve"> </w:t>
      </w:r>
      <w:r w:rsidR="00A77B69">
        <w:t xml:space="preserve">to </w:t>
      </w:r>
      <w:r w:rsidR="0020737A">
        <w:t xml:space="preserve">serve the various needs of an amorphous, fluid movement </w:t>
      </w:r>
      <w:r w:rsidR="00B317F6">
        <w:t xml:space="preserve">adapting </w:t>
      </w:r>
      <w:r w:rsidR="0020737A">
        <w:t>to evolving ci</w:t>
      </w:r>
      <w:r w:rsidR="000D58CD">
        <w:t xml:space="preserve">rcumstances (what is called in </w:t>
      </w:r>
      <w:proofErr w:type="spellStart"/>
      <w:r w:rsidR="00344BA3">
        <w:t>f</w:t>
      </w:r>
      <w:r w:rsidR="0020737A">
        <w:t>orm</w:t>
      </w:r>
      <w:proofErr w:type="spellEnd"/>
      <w:r w:rsidR="0020737A">
        <w:t xml:space="preserve"> </w:t>
      </w:r>
      <w:r w:rsidR="00344BA3">
        <w:t>c</w:t>
      </w:r>
      <w:r w:rsidR="0020737A">
        <w:t xml:space="preserve">riticism the </w:t>
      </w:r>
      <w:proofErr w:type="spellStart"/>
      <w:r w:rsidR="0020737A">
        <w:rPr>
          <w:i/>
          <w:iCs/>
        </w:rPr>
        <w:t>Sitz</w:t>
      </w:r>
      <w:proofErr w:type="spellEnd"/>
      <w:r w:rsidR="0020737A">
        <w:rPr>
          <w:i/>
          <w:iCs/>
        </w:rPr>
        <w:t xml:space="preserve"> im Leben</w:t>
      </w:r>
      <w:r w:rsidR="0020737A">
        <w:t>)—all of this before the gospels reach</w:t>
      </w:r>
      <w:r w:rsidR="00E036CA">
        <w:t>ed</w:t>
      </w:r>
      <w:r w:rsidR="0020737A">
        <w:t xml:space="preserve"> the hands of their final redactors who </w:t>
      </w:r>
      <w:r w:rsidR="00B317F6">
        <w:t xml:space="preserve">gave </w:t>
      </w:r>
      <w:r w:rsidR="0020737A">
        <w:t xml:space="preserve">these texts their final imprint through </w:t>
      </w:r>
      <w:r w:rsidR="00AF73B2">
        <w:t xml:space="preserve">further </w:t>
      </w:r>
      <w:r w:rsidR="0020737A">
        <w:t xml:space="preserve">editing. </w:t>
      </w:r>
      <w:r w:rsidR="00AE7E32">
        <w:t>H</w:t>
      </w:r>
      <w:r w:rsidR="0020737A">
        <w:t xml:space="preserve">istorians </w:t>
      </w:r>
      <w:r w:rsidR="00371AEE">
        <w:t xml:space="preserve">of early Christianity </w:t>
      </w:r>
      <w:r w:rsidR="0020737A">
        <w:t xml:space="preserve">might continue to disagree over the </w:t>
      </w:r>
      <w:r w:rsidR="00634665">
        <w:t xml:space="preserve">schemes that best account for </w:t>
      </w:r>
      <w:r w:rsidR="0020737A">
        <w:t xml:space="preserve">this </w:t>
      </w:r>
      <w:r w:rsidR="00AE7E32">
        <w:t>process</w:t>
      </w:r>
      <w:r w:rsidR="002F3105">
        <w:t>. T</w:t>
      </w:r>
      <w:r w:rsidR="00634665">
        <w:t xml:space="preserve">hey </w:t>
      </w:r>
      <w:r w:rsidR="002F3105">
        <w:t xml:space="preserve">will </w:t>
      </w:r>
      <w:r w:rsidR="001D4D07">
        <w:t xml:space="preserve">further </w:t>
      </w:r>
      <w:r w:rsidR="00634665">
        <w:t>acknowledge</w:t>
      </w:r>
      <w:r w:rsidR="00AB64DE">
        <w:t>,</w:t>
      </w:r>
      <w:r w:rsidR="00634665">
        <w:t xml:space="preserve"> </w:t>
      </w:r>
      <w:r w:rsidR="00371AEE">
        <w:t xml:space="preserve">more than </w:t>
      </w:r>
      <w:r w:rsidR="001301B1">
        <w:t>ever before</w:t>
      </w:r>
      <w:r w:rsidR="00AB64DE">
        <w:t>,</w:t>
      </w:r>
      <w:r w:rsidR="001301B1">
        <w:t xml:space="preserve"> </w:t>
      </w:r>
      <w:r w:rsidR="002F3105">
        <w:t>the limitations of their historical enterprise given the fragmentary evidence</w:t>
      </w:r>
      <w:r w:rsidR="001D4D07">
        <w:t xml:space="preserve"> at their disposal</w:t>
      </w:r>
      <w:r w:rsidR="002F3105">
        <w:t xml:space="preserve">. Some are also keenly aware of their </w:t>
      </w:r>
      <w:r w:rsidR="00900BCE">
        <w:t xml:space="preserve">own </w:t>
      </w:r>
      <w:r w:rsidR="002F3105">
        <w:t xml:space="preserve">subjective position </w:t>
      </w:r>
      <w:r w:rsidR="001301B1">
        <w:t xml:space="preserve">as </w:t>
      </w:r>
      <w:r w:rsidR="002F3105">
        <w:t>contemporary readers who, inevitabl</w:t>
      </w:r>
      <w:r w:rsidR="00AE7E32">
        <w:t>y, are products of their social-</w:t>
      </w:r>
      <w:r w:rsidR="002F3105">
        <w:t>cultural settings. Nonetheless</w:t>
      </w:r>
      <w:r w:rsidR="00371AEE">
        <w:t xml:space="preserve">, </w:t>
      </w:r>
      <w:r w:rsidR="002F3105">
        <w:lastRenderedPageBreak/>
        <w:t xml:space="preserve">most would agree </w:t>
      </w:r>
      <w:r w:rsidR="00371AEE">
        <w:t xml:space="preserve">that the canonical gospels are multi-layered texts stemming from multiple sources that at best </w:t>
      </w:r>
      <w:r w:rsidR="00BF7773">
        <w:t xml:space="preserve">can </w:t>
      </w:r>
      <w:r w:rsidR="00371AEE">
        <w:t xml:space="preserve">only </w:t>
      </w:r>
      <w:r w:rsidR="00AE7E32">
        <w:t xml:space="preserve">convey the </w:t>
      </w:r>
      <w:r w:rsidR="00371AEE">
        <w:t xml:space="preserve">“gist” of </w:t>
      </w:r>
      <w:r w:rsidR="000232CF">
        <w:t xml:space="preserve">what </w:t>
      </w:r>
      <w:r w:rsidR="00371AEE">
        <w:t>Jesus originally said and did.</w:t>
      </w:r>
      <w:r w:rsidR="00371AEE">
        <w:rPr>
          <w:rStyle w:val="FootnoteReference"/>
        </w:rPr>
        <w:footnoteReference w:id="5"/>
      </w:r>
      <w:r w:rsidR="00371AEE">
        <w:t xml:space="preserve"> </w:t>
      </w:r>
      <w:r w:rsidR="00A24B68">
        <w:t xml:space="preserve">From the perspective of a “biblical critic,” there is nothing extreme in the very least regarding Dye’s methodological approach, including </w:t>
      </w:r>
      <w:r w:rsidR="00012D48">
        <w:t xml:space="preserve">his </w:t>
      </w:r>
      <w:r w:rsidR="00A24B68">
        <w:t>questioning whether the Qur</w:t>
      </w:r>
      <w:r w:rsidR="00AB64DE">
        <w:t>’</w:t>
      </w:r>
      <w:r w:rsidR="00A24B68">
        <w:t xml:space="preserve">an records </w:t>
      </w:r>
      <w:r w:rsidR="00AE7E32">
        <w:t xml:space="preserve">Muhammad’s </w:t>
      </w:r>
      <w:r w:rsidR="00A24B68">
        <w:rPr>
          <w:i/>
          <w:iCs/>
        </w:rPr>
        <w:t xml:space="preserve">ipsissima </w:t>
      </w:r>
      <w:proofErr w:type="spellStart"/>
      <w:r w:rsidR="00A24B68">
        <w:rPr>
          <w:i/>
          <w:iCs/>
        </w:rPr>
        <w:t>verba</w:t>
      </w:r>
      <w:proofErr w:type="spellEnd"/>
      <w:r w:rsidR="00A24B68">
        <w:t>.</w:t>
      </w:r>
      <w:r w:rsidR="00A24B68">
        <w:rPr>
          <w:rStyle w:val="FootnoteReference"/>
        </w:rPr>
        <w:footnoteReference w:id="6"/>
      </w:r>
      <w:r w:rsidR="00A24B68">
        <w:t xml:space="preserve">  </w:t>
      </w:r>
    </w:p>
    <w:p w14:paraId="3E5EB2D8" w14:textId="798B7BD6" w:rsidR="00F65FC5" w:rsidRDefault="00AF1CF3" w:rsidP="00A14CF2">
      <w:pPr>
        <w:spacing w:line="480" w:lineRule="auto"/>
        <w:ind w:firstLine="720"/>
        <w:jc w:val="both"/>
        <w:rPr>
          <w:rFonts w:cs="Times New Roman"/>
          <w:szCs w:val="24"/>
        </w:rPr>
      </w:pPr>
      <w:r>
        <w:t>O</w:t>
      </w:r>
      <w:r w:rsidR="00744562">
        <w:t xml:space="preserve">ne of the strengths of </w:t>
      </w:r>
      <w:r w:rsidR="008777F0">
        <w:t xml:space="preserve">Dye’s </w:t>
      </w:r>
      <w:r w:rsidR="003476CB">
        <w:t xml:space="preserve">approach </w:t>
      </w:r>
      <w:r w:rsidR="00744562">
        <w:t xml:space="preserve">lies in its ability </w:t>
      </w:r>
      <w:r w:rsidR="00900BCE">
        <w:t xml:space="preserve">to </w:t>
      </w:r>
      <w:r w:rsidR="000D58CD">
        <w:t>demonstrat</w:t>
      </w:r>
      <w:r w:rsidR="00900BCE">
        <w:t>e</w:t>
      </w:r>
      <w:r w:rsidR="000232CF">
        <w:t xml:space="preserve"> how </w:t>
      </w:r>
      <w:r w:rsidR="00A24B68">
        <w:t xml:space="preserve">Q </w:t>
      </w:r>
      <w:r w:rsidR="000232CF">
        <w:t>19:1–63</w:t>
      </w:r>
      <w:r w:rsidR="00BF7773">
        <w:t>,</w:t>
      </w:r>
      <w:r w:rsidR="00B621B6">
        <w:t xml:space="preserve"> </w:t>
      </w:r>
      <w:r w:rsidR="00CC1EF1">
        <w:t xml:space="preserve">ultimately </w:t>
      </w:r>
      <w:r w:rsidR="000232CF">
        <w:t>builds on Christian subtexts</w:t>
      </w:r>
      <w:r w:rsidR="00516330">
        <w:t>,</w:t>
      </w:r>
      <w:r w:rsidR="000232CF">
        <w:t xml:space="preserve"> </w:t>
      </w:r>
      <w:r w:rsidR="00516330">
        <w:t xml:space="preserve">some bearing </w:t>
      </w:r>
      <w:r w:rsidR="000232CF">
        <w:t>a Palestinian texture</w:t>
      </w:r>
      <w:r w:rsidR="00AF73B2">
        <w:t xml:space="preserve">. Furthermore, </w:t>
      </w:r>
      <w:r w:rsidR="00516330">
        <w:t xml:space="preserve">Dye’s investigation </w:t>
      </w:r>
      <w:r w:rsidR="00AF73B2">
        <w:t>sheds</w:t>
      </w:r>
      <w:r w:rsidR="00B621B6">
        <w:t xml:space="preserve"> light on </w:t>
      </w:r>
      <w:r w:rsidR="00F65FC5">
        <w:t xml:space="preserve">the meaning of </w:t>
      </w:r>
      <w:r w:rsidR="00B621B6">
        <w:t xml:space="preserve">rather </w:t>
      </w:r>
      <w:r w:rsidR="00AF73B2">
        <w:t xml:space="preserve">vague </w:t>
      </w:r>
      <w:r w:rsidR="00F65FC5">
        <w:t xml:space="preserve">terms that appear in this Quranic passage, including </w:t>
      </w:r>
      <w:r w:rsidR="00B317F6">
        <w:t xml:space="preserve">the </w:t>
      </w:r>
      <w:r w:rsidR="00744562">
        <w:t xml:space="preserve">“eastern place,” the “remote place,” the “curtain,” </w:t>
      </w:r>
      <w:r w:rsidR="00AD52EE">
        <w:t xml:space="preserve">and </w:t>
      </w:r>
      <w:r w:rsidR="00744562">
        <w:t>the “sister of Aaron</w:t>
      </w:r>
      <w:r w:rsidR="00FF201D">
        <w:t>.</w:t>
      </w:r>
      <w:r w:rsidR="00744562">
        <w:t xml:space="preserve">” </w:t>
      </w:r>
      <w:r w:rsidR="00F65FC5">
        <w:t xml:space="preserve">With these </w:t>
      </w:r>
      <w:r w:rsidR="000D58CD">
        <w:t xml:space="preserve">observations </w:t>
      </w:r>
      <w:r w:rsidR="00F65FC5">
        <w:t xml:space="preserve">in mind, I would like to </w:t>
      </w:r>
      <w:r w:rsidR="00C920BB">
        <w:t xml:space="preserve">concentrate on </w:t>
      </w:r>
      <w:r w:rsidR="00F65FC5">
        <w:t xml:space="preserve">a few </w:t>
      </w:r>
      <w:r w:rsidR="00C920BB">
        <w:t xml:space="preserve">matters of </w:t>
      </w:r>
      <w:r w:rsidR="00294FEC">
        <w:t xml:space="preserve">Dye’s piece </w:t>
      </w:r>
      <w:r w:rsidR="00F65FC5">
        <w:t xml:space="preserve">that relate specifically to the contents of </w:t>
      </w:r>
      <w:r w:rsidR="00012D48">
        <w:t xml:space="preserve">Q </w:t>
      </w:r>
      <w:r w:rsidR="00B621B6">
        <w:t>1</w:t>
      </w:r>
      <w:r w:rsidR="00F65FC5">
        <w:t>9:1–63.</w:t>
      </w:r>
      <w:r w:rsidR="007A36A1">
        <w:t xml:space="preserve"> </w:t>
      </w:r>
      <w:r w:rsidR="00294FEC">
        <w:t xml:space="preserve">Dye </w:t>
      </w:r>
      <w:r w:rsidR="00F65FC5">
        <w:t xml:space="preserve">claims that, without the interpolation of vv. 34–40, the </w:t>
      </w:r>
      <w:r w:rsidR="000D58CD">
        <w:t xml:space="preserve">earlier </w:t>
      </w:r>
      <w:r w:rsidR="00F65FC5">
        <w:t xml:space="preserve">form of </w:t>
      </w:r>
      <w:r w:rsidR="00012D48">
        <w:t xml:space="preserve">Q </w:t>
      </w:r>
      <w:r w:rsidR="00F65FC5">
        <w:t>19:1–63 is</w:t>
      </w:r>
      <w:r w:rsidR="00716BC1">
        <w:t xml:space="preserve"> definitely not anti-Christian. </w:t>
      </w:r>
      <w:r w:rsidR="00FA529A">
        <w:t xml:space="preserve">I could agree but would like to point out the following: </w:t>
      </w:r>
      <w:r w:rsidR="007A36A1">
        <w:t xml:space="preserve">I was struck, </w:t>
      </w:r>
      <w:r w:rsidR="00716BC1">
        <w:t xml:space="preserve">when reading </w:t>
      </w:r>
      <w:r w:rsidR="00CC1EF1">
        <w:t xml:space="preserve">Q </w:t>
      </w:r>
      <w:r w:rsidR="00C920BB">
        <w:t>19:</w:t>
      </w:r>
      <w:r w:rsidR="00716BC1">
        <w:t>2–33</w:t>
      </w:r>
      <w:r w:rsidR="007A36A1">
        <w:t>,</w:t>
      </w:r>
      <w:r w:rsidR="00716BC1">
        <w:t xml:space="preserve"> how this section reminded me of the doublet </w:t>
      </w:r>
      <w:r w:rsidR="00294FEC">
        <w:t xml:space="preserve">in the first two chapters of Luke recounting </w:t>
      </w:r>
      <w:r w:rsidR="00716BC1">
        <w:t xml:space="preserve">the births of John the Baptist and Jesus. While </w:t>
      </w:r>
      <w:r w:rsidR="00012D48">
        <w:t xml:space="preserve">Q </w:t>
      </w:r>
      <w:r w:rsidR="00716BC1">
        <w:t xml:space="preserve">19:16–33, from a source-critical point of view, depends </w:t>
      </w:r>
      <w:r w:rsidR="00285749">
        <w:t xml:space="preserve">in part </w:t>
      </w:r>
      <w:r w:rsidR="00716BC1">
        <w:t xml:space="preserve">on </w:t>
      </w:r>
      <w:r w:rsidR="000D58CD">
        <w:t xml:space="preserve">traditions known to us </w:t>
      </w:r>
      <w:r w:rsidR="00294FEC">
        <w:t xml:space="preserve">from </w:t>
      </w:r>
      <w:r w:rsidR="00716BC1">
        <w:t xml:space="preserve">the </w:t>
      </w:r>
      <w:r w:rsidR="00716BC1" w:rsidRPr="00A14CF2">
        <w:rPr>
          <w:iCs/>
        </w:rPr>
        <w:t>Protoevangelium of James</w:t>
      </w:r>
      <w:r w:rsidR="00716BC1">
        <w:t>,</w:t>
      </w:r>
      <w:r w:rsidR="00900BCE">
        <w:t xml:space="preserve"> it contains</w:t>
      </w:r>
      <w:r w:rsidR="00716BC1">
        <w:t xml:space="preserve"> elements that </w:t>
      </w:r>
      <w:r w:rsidR="000D58CD">
        <w:t xml:space="preserve">recall </w:t>
      </w:r>
      <w:r w:rsidR="00716BC1">
        <w:t>Luke’s “</w:t>
      </w:r>
      <w:r w:rsidR="007A199E">
        <w:t>i</w:t>
      </w:r>
      <w:r w:rsidR="00716BC1">
        <w:t>nfancy narrative</w:t>
      </w:r>
      <w:r w:rsidR="00B317F6">
        <w:t>.</w:t>
      </w:r>
      <w:r w:rsidR="00716BC1">
        <w:t>”</w:t>
      </w:r>
      <w:r w:rsidR="00B317F6">
        <w:t xml:space="preserve"> Indeed, </w:t>
      </w:r>
      <w:r w:rsidR="00CA0E20">
        <w:t xml:space="preserve">Dye </w:t>
      </w:r>
      <w:r w:rsidR="00B317F6">
        <w:t xml:space="preserve">claims </w:t>
      </w:r>
      <w:r w:rsidR="00B621B6">
        <w:t xml:space="preserve">in his paper </w:t>
      </w:r>
      <w:r w:rsidR="00B317F6">
        <w:t xml:space="preserve">that the original author of </w:t>
      </w:r>
      <w:r w:rsidR="00CC1EF1">
        <w:t xml:space="preserve">Q </w:t>
      </w:r>
      <w:r w:rsidR="00B317F6">
        <w:t xml:space="preserve">19:1–63 </w:t>
      </w:r>
      <w:r w:rsidR="00B317F6">
        <w:lastRenderedPageBreak/>
        <w:t xml:space="preserve">was familiar with </w:t>
      </w:r>
      <w:r w:rsidR="007A199E">
        <w:t xml:space="preserve">Luke 1. I would like </w:t>
      </w:r>
      <w:r w:rsidR="000D58CD">
        <w:t xml:space="preserve">to focus </w:t>
      </w:r>
      <w:r w:rsidR="00012D48">
        <w:t xml:space="preserve">further </w:t>
      </w:r>
      <w:r w:rsidR="000D58CD">
        <w:t xml:space="preserve">on this possibility. Unlike </w:t>
      </w:r>
      <w:r w:rsidR="00012D48">
        <w:t xml:space="preserve">Q </w:t>
      </w:r>
      <w:r w:rsidR="000D58CD">
        <w:t>19:2–15 and Luke ch. 1, t</w:t>
      </w:r>
      <w:r w:rsidR="00716BC1">
        <w:t xml:space="preserve">he </w:t>
      </w:r>
      <w:r w:rsidR="00716BC1" w:rsidRPr="00A14CF2">
        <w:t>Protoevangelium of James</w:t>
      </w:r>
      <w:r w:rsidR="00716BC1">
        <w:t xml:space="preserve"> </w:t>
      </w:r>
      <w:r w:rsidR="00580673">
        <w:t>does</w:t>
      </w:r>
      <w:r w:rsidR="007A199E">
        <w:t xml:space="preserve"> no</w:t>
      </w:r>
      <w:r w:rsidR="00580673">
        <w:t xml:space="preserve">t start out narrating the birth of John the Baptist. In fact, </w:t>
      </w:r>
      <w:r w:rsidR="00900BCE">
        <w:t>it</w:t>
      </w:r>
      <w:r w:rsidR="000D58CD">
        <w:rPr>
          <w:i/>
          <w:iCs/>
        </w:rPr>
        <w:t xml:space="preserve"> </w:t>
      </w:r>
      <w:r w:rsidR="00580673">
        <w:t xml:space="preserve">only </w:t>
      </w:r>
      <w:r w:rsidR="00B621B6">
        <w:t xml:space="preserve">alludes to </w:t>
      </w:r>
      <w:r w:rsidR="00580673">
        <w:t xml:space="preserve">the birth of John the Baptist </w:t>
      </w:r>
      <w:r w:rsidR="00900BCE">
        <w:rPr>
          <w:iCs/>
        </w:rPr>
        <w:t>only in passing</w:t>
      </w:r>
      <w:r w:rsidR="00580673">
        <w:t xml:space="preserve">. Like </w:t>
      </w:r>
      <w:r w:rsidR="00012D48">
        <w:t xml:space="preserve">Q </w:t>
      </w:r>
      <w:r w:rsidR="00580673">
        <w:t xml:space="preserve">19:16–33, the </w:t>
      </w:r>
      <w:r w:rsidR="00580673" w:rsidRPr="00A14CF2">
        <w:t>Protoevangelium of James</w:t>
      </w:r>
      <w:r w:rsidR="00580673">
        <w:t xml:space="preserve"> focuses more on Mary and the birth of Jesus (though unlike </w:t>
      </w:r>
      <w:r w:rsidR="00012D48">
        <w:t xml:space="preserve">Q </w:t>
      </w:r>
      <w:r w:rsidR="00B621B6">
        <w:t>19</w:t>
      </w:r>
      <w:r w:rsidR="00580673">
        <w:t xml:space="preserve">, </w:t>
      </w:r>
      <w:r w:rsidR="00900BCE">
        <w:t xml:space="preserve">it </w:t>
      </w:r>
      <w:r w:rsidR="00CA0E20">
        <w:t xml:space="preserve">also </w:t>
      </w:r>
      <w:r w:rsidR="00580673">
        <w:t>relate</w:t>
      </w:r>
      <w:r w:rsidR="00CA0E20">
        <w:t>s</w:t>
      </w:r>
      <w:r w:rsidR="00580673">
        <w:t xml:space="preserve"> the martyrdom of Zechariah).  On the other hand, the Gospel of Luke </w:t>
      </w:r>
      <w:r w:rsidR="00CA0E20">
        <w:t xml:space="preserve">opens </w:t>
      </w:r>
      <w:r w:rsidR="00580673">
        <w:t xml:space="preserve">with </w:t>
      </w:r>
      <w:r w:rsidR="00CC1EF1">
        <w:t xml:space="preserve">the announcement of John’s birth during </w:t>
      </w:r>
      <w:r w:rsidR="00580673">
        <w:t>Zechariah</w:t>
      </w:r>
      <w:r w:rsidR="00CC1EF1">
        <w:t>’s</w:t>
      </w:r>
      <w:r w:rsidR="00580673">
        <w:t xml:space="preserve"> </w:t>
      </w:r>
      <w:r w:rsidR="00CC1EF1">
        <w:t xml:space="preserve">encounter with the angel Gabriel </w:t>
      </w:r>
      <w:r w:rsidR="00580673">
        <w:t>in the tem</w:t>
      </w:r>
      <w:r w:rsidR="004162D7">
        <w:t>ple</w:t>
      </w:r>
      <w:r w:rsidR="00580673">
        <w:t>.</w:t>
      </w:r>
      <w:r w:rsidR="00580673">
        <w:rPr>
          <w:rStyle w:val="FootnoteReference"/>
        </w:rPr>
        <w:footnoteReference w:id="7"/>
      </w:r>
      <w:r w:rsidR="00580673">
        <w:t xml:space="preserve"> </w:t>
      </w:r>
      <w:r w:rsidR="00B621B6">
        <w:t xml:space="preserve">Luke </w:t>
      </w:r>
      <w:r w:rsidR="002260E3">
        <w:t xml:space="preserve">then </w:t>
      </w:r>
      <w:r w:rsidR="000D58CD">
        <w:t xml:space="preserve">reports </w:t>
      </w:r>
      <w:r w:rsidR="00CA0E20">
        <w:t xml:space="preserve">the </w:t>
      </w:r>
      <w:r w:rsidR="00580673">
        <w:t xml:space="preserve">annunciation </w:t>
      </w:r>
      <w:r w:rsidR="00CC1EF1">
        <w:t xml:space="preserve">of </w:t>
      </w:r>
      <w:r w:rsidR="00580673">
        <w:t>Jesus</w:t>
      </w:r>
      <w:r w:rsidR="00CC1EF1">
        <w:t>’ birth to Mary</w:t>
      </w:r>
      <w:r w:rsidR="00580673">
        <w:t xml:space="preserve">. </w:t>
      </w:r>
      <w:r w:rsidR="002260E3">
        <w:t xml:space="preserve">Many other parallels exist between the </w:t>
      </w:r>
      <w:r w:rsidR="00285749">
        <w:t xml:space="preserve">Lukan </w:t>
      </w:r>
      <w:r w:rsidR="002260E3">
        <w:t xml:space="preserve">birth accounts of John and Jesus. </w:t>
      </w:r>
      <w:r w:rsidR="00CA0E20">
        <w:t>The</w:t>
      </w:r>
      <w:r w:rsidR="00580673">
        <w:t xml:space="preserve"> literary symmetry in Luke is deliberate</w:t>
      </w:r>
      <w:r w:rsidR="004162D7">
        <w:t>,</w:t>
      </w:r>
      <w:r w:rsidR="00580673">
        <w:t xml:space="preserve"> </w:t>
      </w:r>
      <w:r w:rsidR="004162D7">
        <w:t>resulting</w:t>
      </w:r>
      <w:r w:rsidR="00580673">
        <w:t xml:space="preserve"> from </w:t>
      </w:r>
      <w:r w:rsidR="002260E3">
        <w:t xml:space="preserve">redactional activity with the </w:t>
      </w:r>
      <w:r w:rsidR="00CA0E20">
        <w:t xml:space="preserve">ultimate </w:t>
      </w:r>
      <w:r w:rsidR="002260E3">
        <w:t xml:space="preserve">aim of </w:t>
      </w:r>
      <w:r w:rsidR="00580673">
        <w:t>exalt</w:t>
      </w:r>
      <w:r w:rsidR="002260E3">
        <w:t>ing</w:t>
      </w:r>
      <w:r w:rsidR="00CA0E20">
        <w:t xml:space="preserve"> Jesus above his predecessor </w:t>
      </w:r>
      <w:r w:rsidR="00580673">
        <w:t>John.</w:t>
      </w:r>
      <w:r w:rsidR="001906E7">
        <w:t xml:space="preserve"> The</w:t>
      </w:r>
      <w:r w:rsidR="00B621B6">
        <w:t xml:space="preserve"> </w:t>
      </w:r>
      <w:r w:rsidR="001906E7">
        <w:t xml:space="preserve">redactor of Luke chs. 1–2 </w:t>
      </w:r>
      <w:r w:rsidR="00726403">
        <w:t xml:space="preserve">acknowledges </w:t>
      </w:r>
      <w:r w:rsidR="001906E7">
        <w:t xml:space="preserve">the stature of John, conferring to him </w:t>
      </w:r>
      <w:r w:rsidR="00550CC1">
        <w:t xml:space="preserve">a </w:t>
      </w:r>
      <w:r w:rsidR="001906E7">
        <w:t xml:space="preserve">miraculous birth, </w:t>
      </w:r>
      <w:r w:rsidR="00B621B6">
        <w:t xml:space="preserve">a </w:t>
      </w:r>
      <w:r w:rsidR="001906E7">
        <w:t xml:space="preserve">priestly pedigree, and </w:t>
      </w:r>
      <w:r w:rsidR="00B621B6">
        <w:t xml:space="preserve">a </w:t>
      </w:r>
      <w:r w:rsidR="001906E7">
        <w:t xml:space="preserve">prophetic </w:t>
      </w:r>
      <w:r w:rsidR="00042DD8">
        <w:t>calling</w:t>
      </w:r>
      <w:r w:rsidR="001906E7">
        <w:t xml:space="preserve">. Ultimately, however, </w:t>
      </w:r>
      <w:r w:rsidR="00042DD8">
        <w:t xml:space="preserve">Luke’s </w:t>
      </w:r>
      <w:r w:rsidR="001906E7">
        <w:t xml:space="preserve">John is only the messenger of someone greater to come. </w:t>
      </w:r>
      <w:r w:rsidR="006D1529">
        <w:t>Notice what t</w:t>
      </w:r>
      <w:r w:rsidR="001906E7">
        <w:t xml:space="preserve">he angel Gabriel has to say about </w:t>
      </w:r>
      <w:r w:rsidR="00550CC1">
        <w:t>Jesus</w:t>
      </w:r>
      <w:r w:rsidR="00B621B6">
        <w:t xml:space="preserve"> in Luke 1:32–33</w:t>
      </w:r>
      <w:r w:rsidR="00CC1EF1">
        <w:t xml:space="preserve">—which </w:t>
      </w:r>
      <w:r w:rsidR="002260E3">
        <w:t xml:space="preserve">is absent </w:t>
      </w:r>
      <w:r w:rsidR="00042DD8">
        <w:t>from</w:t>
      </w:r>
      <w:r w:rsidR="002260E3">
        <w:t xml:space="preserve"> </w:t>
      </w:r>
      <w:r w:rsidR="00CE4691">
        <w:t xml:space="preserve">Q </w:t>
      </w:r>
      <w:r w:rsidR="002260E3">
        <w:t>19</w:t>
      </w:r>
      <w:r w:rsidR="001906E7">
        <w:t>: “</w:t>
      </w:r>
      <w:r w:rsidR="001906E7">
        <w:rPr>
          <w:rFonts w:cs="Times New Roman"/>
          <w:szCs w:val="24"/>
        </w:rPr>
        <w:t>He will be great, and will be called the Son of the Most High, and the Lord God will give to him the throne of his ancestor David. He will reign over the house of Jacob forever, and of h</w:t>
      </w:r>
      <w:r w:rsidR="00C22052">
        <w:rPr>
          <w:rFonts w:cs="Times New Roman"/>
          <w:szCs w:val="24"/>
        </w:rPr>
        <w:t>is kingdom there will be no end”</w:t>
      </w:r>
      <w:r w:rsidR="00CA0E20">
        <w:rPr>
          <w:rFonts w:cs="Times New Roman"/>
          <w:szCs w:val="24"/>
        </w:rPr>
        <w:t xml:space="preserve"> (New Revised Standard</w:t>
      </w:r>
      <w:r w:rsidR="00726403">
        <w:rPr>
          <w:rFonts w:cs="Times New Roman"/>
          <w:szCs w:val="24"/>
        </w:rPr>
        <w:t xml:space="preserve"> Version</w:t>
      </w:r>
      <w:r w:rsidR="00CA0E20">
        <w:rPr>
          <w:rFonts w:cs="Times New Roman"/>
          <w:szCs w:val="24"/>
        </w:rPr>
        <w:t>)</w:t>
      </w:r>
      <w:r w:rsidR="001906E7">
        <w:rPr>
          <w:rFonts w:cs="Times New Roman"/>
          <w:szCs w:val="24"/>
        </w:rPr>
        <w:t>.</w:t>
      </w:r>
    </w:p>
    <w:p w14:paraId="51FFCF20" w14:textId="771AAE49" w:rsidR="001906E7" w:rsidRDefault="00753869" w:rsidP="00F67CD5">
      <w:pPr>
        <w:spacing w:line="480" w:lineRule="auto"/>
        <w:ind w:firstLine="720"/>
        <w:jc w:val="both"/>
      </w:pPr>
      <w:r>
        <w:t xml:space="preserve">Like </w:t>
      </w:r>
      <w:r w:rsidR="001906E7">
        <w:t xml:space="preserve">the Lukan doublet, the Quranic doublet in </w:t>
      </w:r>
      <w:r w:rsidR="00CE4691">
        <w:t xml:space="preserve">Q </w:t>
      </w:r>
      <w:r w:rsidR="001906E7">
        <w:t xml:space="preserve">19:2–33 </w:t>
      </w:r>
      <w:r>
        <w:t xml:space="preserve">presents </w:t>
      </w:r>
      <w:r w:rsidR="001906E7">
        <w:t xml:space="preserve">the births of John and Jesus as miraculous </w:t>
      </w:r>
      <w:r>
        <w:t>events</w:t>
      </w:r>
      <w:r w:rsidR="00550CC1">
        <w:t xml:space="preserve"> willed by </w:t>
      </w:r>
      <w:r w:rsidR="001906E7">
        <w:t xml:space="preserve">God. </w:t>
      </w:r>
      <w:r w:rsidR="00686041">
        <w:t xml:space="preserve">John’s birth is remarkable because </w:t>
      </w:r>
      <w:r w:rsidR="00C920BB">
        <w:t xml:space="preserve">of </w:t>
      </w:r>
      <w:r w:rsidR="00686041">
        <w:t xml:space="preserve">its </w:t>
      </w:r>
      <w:r w:rsidR="00686041">
        <w:rPr>
          <w:i/>
          <w:iCs/>
        </w:rPr>
        <w:t>timing</w:t>
      </w:r>
      <w:r w:rsidR="002260E3">
        <w:t>:</w:t>
      </w:r>
      <w:r w:rsidR="00686041">
        <w:t xml:space="preserve"> it occurs </w:t>
      </w:r>
      <w:r w:rsidR="00042DD8">
        <w:t xml:space="preserve">despite his </w:t>
      </w:r>
      <w:r w:rsidR="00686041">
        <w:t>parents</w:t>
      </w:r>
      <w:r w:rsidR="00042DD8">
        <w:t>’</w:t>
      </w:r>
      <w:r w:rsidR="00C358E0">
        <w:t xml:space="preserve"> senile</w:t>
      </w:r>
      <w:r w:rsidR="00042DD8">
        <w:t xml:space="preserve"> age</w:t>
      </w:r>
      <w:r w:rsidR="00686041">
        <w:t xml:space="preserve">. Jesus’ birth is remarkable for the </w:t>
      </w:r>
      <w:r w:rsidR="00686041">
        <w:rPr>
          <w:i/>
          <w:iCs/>
        </w:rPr>
        <w:t xml:space="preserve">manner </w:t>
      </w:r>
      <w:r w:rsidR="00CC1EF1">
        <w:t>of its manifestation</w:t>
      </w:r>
      <w:r w:rsidR="00B621B6">
        <w:t>:</w:t>
      </w:r>
      <w:r w:rsidR="00686041">
        <w:t xml:space="preserve"> </w:t>
      </w:r>
      <w:r w:rsidR="00B621B6">
        <w:t>t</w:t>
      </w:r>
      <w:r w:rsidR="00686041">
        <w:t>he Qur</w:t>
      </w:r>
      <w:r w:rsidR="00DB2D87">
        <w:t>’</w:t>
      </w:r>
      <w:r w:rsidR="00686041">
        <w:t xml:space="preserve">an </w:t>
      </w:r>
      <w:r w:rsidR="00042DD8">
        <w:t xml:space="preserve">confesses </w:t>
      </w:r>
      <w:r w:rsidR="00686041">
        <w:t xml:space="preserve">the virgin birth of Jesus. However, unlike the </w:t>
      </w:r>
      <w:r w:rsidR="00726403">
        <w:t xml:space="preserve">Gospel </w:t>
      </w:r>
      <w:r w:rsidR="00686041">
        <w:t xml:space="preserve">of Luke, it does not seem that </w:t>
      </w:r>
      <w:r>
        <w:t xml:space="preserve">the </w:t>
      </w:r>
      <w:r w:rsidR="00686041">
        <w:t>Quranic pericope</w:t>
      </w:r>
      <w:r>
        <w:t xml:space="preserve"> </w:t>
      </w:r>
      <w:r w:rsidR="00B621B6">
        <w:t xml:space="preserve">in question in its actual form </w:t>
      </w:r>
      <w:r>
        <w:t xml:space="preserve">uses </w:t>
      </w:r>
      <w:r w:rsidR="00686041">
        <w:t xml:space="preserve">the virgin </w:t>
      </w:r>
      <w:r w:rsidR="00686041">
        <w:lastRenderedPageBreak/>
        <w:t>birth to exalt Jesus over and above John</w:t>
      </w:r>
      <w:r w:rsidR="005D6AC2">
        <w:t>.</w:t>
      </w:r>
      <w:r w:rsidR="00550CC1">
        <w:t xml:space="preserve"> </w:t>
      </w:r>
      <w:r w:rsidR="005D6AC2">
        <w:t>P</w:t>
      </w:r>
      <w:r w:rsidR="00B621B6">
        <w:t xml:space="preserve">erhaps </w:t>
      </w:r>
      <w:r w:rsidR="00550CC1">
        <w:t xml:space="preserve">this was no longer </w:t>
      </w:r>
      <w:r w:rsidR="00DB2D87">
        <w:t>a</w:t>
      </w:r>
      <w:r w:rsidR="00CE4691">
        <w:t xml:space="preserve"> </w:t>
      </w:r>
      <w:r w:rsidR="00DB2D87">
        <w:t>pressing concern</w:t>
      </w:r>
      <w:r w:rsidR="00686041">
        <w:t>.</w:t>
      </w:r>
      <w:r w:rsidR="002260E3">
        <w:rPr>
          <w:rStyle w:val="FootnoteReference"/>
        </w:rPr>
        <w:footnoteReference w:id="8"/>
      </w:r>
      <w:r w:rsidR="00686041">
        <w:t xml:space="preserve"> </w:t>
      </w:r>
      <w:r w:rsidR="005F58AA">
        <w:t>In this section of the Qur</w:t>
      </w:r>
      <w:r w:rsidR="00DB2D87">
        <w:t>’</w:t>
      </w:r>
      <w:r w:rsidR="005F58AA">
        <w:t>an</w:t>
      </w:r>
      <w:r w:rsidR="00686041">
        <w:t xml:space="preserve">, Jesus </w:t>
      </w:r>
      <w:r w:rsidR="005F58AA">
        <w:t xml:space="preserve">and John </w:t>
      </w:r>
      <w:r w:rsidR="00DB2D87">
        <w:t xml:space="preserve">are </w:t>
      </w:r>
      <w:r w:rsidR="005D6AC2">
        <w:t>near equals</w:t>
      </w:r>
      <w:r w:rsidR="005F58AA">
        <w:t>. B</w:t>
      </w:r>
      <w:r w:rsidR="00FA529A">
        <w:t xml:space="preserve">oth figures are </w:t>
      </w:r>
      <w:proofErr w:type="spellStart"/>
      <w:r w:rsidR="00FA529A">
        <w:t>dejudaized</w:t>
      </w:r>
      <w:proofErr w:type="spellEnd"/>
      <w:r w:rsidR="00FA529A">
        <w:t xml:space="preserve"> to a large extent</w:t>
      </w:r>
      <w:r w:rsidR="005F58AA">
        <w:t xml:space="preserve">: Jesus is not </w:t>
      </w:r>
      <w:r w:rsidR="00F67CD5">
        <w:t xml:space="preserve">heralded </w:t>
      </w:r>
      <w:r w:rsidR="005F58AA">
        <w:t>as the Davidic king who will rule over Israel, as is the case in Luke, and no mention is made about John’s circumcision on the eighth day. Both figure</w:t>
      </w:r>
      <w:r w:rsidR="005D6AC2">
        <w:t>s</w:t>
      </w:r>
      <w:r w:rsidR="005F58AA">
        <w:t xml:space="preserve"> </w:t>
      </w:r>
      <w:r w:rsidR="001D46BD">
        <w:t xml:space="preserve">are </w:t>
      </w:r>
      <w:r w:rsidR="005F58AA">
        <w:t xml:space="preserve">also portrayed as mere </w:t>
      </w:r>
      <w:r w:rsidR="00686041">
        <w:t>mortal</w:t>
      </w:r>
      <w:r w:rsidR="00FA529A">
        <w:t>s</w:t>
      </w:r>
      <w:r w:rsidR="005F58AA">
        <w:t>,</w:t>
      </w:r>
      <w:r w:rsidR="00686041">
        <w:t xml:space="preserve"> with a </w:t>
      </w:r>
      <w:r w:rsidR="00773022">
        <w:t xml:space="preserve">clear </w:t>
      </w:r>
      <w:r w:rsidR="00686041">
        <w:t xml:space="preserve">beginning and an end, who </w:t>
      </w:r>
      <w:r w:rsidR="00DF1746">
        <w:t xml:space="preserve">nonetheless </w:t>
      </w:r>
      <w:r w:rsidR="00FA529A">
        <w:t>look</w:t>
      </w:r>
      <w:r w:rsidR="00686041">
        <w:t xml:space="preserve"> forward to </w:t>
      </w:r>
      <w:r w:rsidR="00FA529A">
        <w:t xml:space="preserve">the day of their </w:t>
      </w:r>
      <w:r w:rsidR="00686041">
        <w:t xml:space="preserve">resurrection. Could the </w:t>
      </w:r>
      <w:r>
        <w:t xml:space="preserve">Quranic </w:t>
      </w:r>
      <w:r w:rsidR="00686041">
        <w:t xml:space="preserve">parallelism </w:t>
      </w:r>
      <w:r w:rsidR="00FA529A">
        <w:t xml:space="preserve">in </w:t>
      </w:r>
      <w:r w:rsidR="00CE4691">
        <w:t xml:space="preserve">Q </w:t>
      </w:r>
      <w:r w:rsidR="00FA529A">
        <w:t xml:space="preserve">19 </w:t>
      </w:r>
      <w:r w:rsidR="00686041">
        <w:t>even imply that Jesus</w:t>
      </w:r>
      <w:r>
        <w:t>, like John,</w:t>
      </w:r>
      <w:r w:rsidR="00686041">
        <w:t xml:space="preserve"> has </w:t>
      </w:r>
      <w:r w:rsidR="00686041">
        <w:rPr>
          <w:i/>
          <w:iCs/>
        </w:rPr>
        <w:t xml:space="preserve">not </w:t>
      </w:r>
      <w:r w:rsidR="00686041">
        <w:t xml:space="preserve">yet risen from the dead? I only present </w:t>
      </w:r>
      <w:r w:rsidR="00132CBF">
        <w:t xml:space="preserve">this possibility </w:t>
      </w:r>
      <w:r w:rsidR="00686041">
        <w:t xml:space="preserve">as an option that merits further consideration. </w:t>
      </w:r>
      <w:r w:rsidR="005C21FC">
        <w:t xml:space="preserve">What seems </w:t>
      </w:r>
      <w:r w:rsidR="00FA529A">
        <w:t>persuasive</w:t>
      </w:r>
      <w:r w:rsidR="005C21FC">
        <w:t xml:space="preserve">, as </w:t>
      </w:r>
      <w:r w:rsidR="00132CBF">
        <w:t xml:space="preserve">Dye </w:t>
      </w:r>
      <w:r w:rsidR="005C21FC">
        <w:t xml:space="preserve">points out, is that </w:t>
      </w:r>
      <w:r w:rsidR="00CE4691">
        <w:t xml:space="preserve">Q </w:t>
      </w:r>
      <w:r w:rsidR="00132CBF">
        <w:t>19</w:t>
      </w:r>
      <w:r w:rsidR="0034743F">
        <w:t>:33</w:t>
      </w:r>
      <w:r w:rsidR="00132CBF">
        <w:t xml:space="preserve"> </w:t>
      </w:r>
      <w:r w:rsidR="005D6AC2">
        <w:t xml:space="preserve">apparently assumes </w:t>
      </w:r>
      <w:r w:rsidR="005C21FC">
        <w:t xml:space="preserve">the </w:t>
      </w:r>
      <w:r w:rsidR="005C21FC">
        <w:rPr>
          <w:i/>
          <w:iCs/>
        </w:rPr>
        <w:t xml:space="preserve">real </w:t>
      </w:r>
      <w:r w:rsidR="005C21FC">
        <w:t>death of Jesus</w:t>
      </w:r>
      <w:r w:rsidR="005D6AC2">
        <w:t xml:space="preserve">, challenging </w:t>
      </w:r>
      <w:r w:rsidR="005C21FC">
        <w:t xml:space="preserve">the </w:t>
      </w:r>
      <w:r w:rsidR="005D6AC2">
        <w:t xml:space="preserve">more </w:t>
      </w:r>
      <w:r w:rsidR="005C21FC">
        <w:t xml:space="preserve">widespread </w:t>
      </w:r>
      <w:r w:rsidR="005D6AC2">
        <w:t xml:space="preserve">understanding </w:t>
      </w:r>
      <w:r w:rsidR="005C21FC">
        <w:t xml:space="preserve">(based on </w:t>
      </w:r>
      <w:r w:rsidR="00CE4691">
        <w:t xml:space="preserve">Q </w:t>
      </w:r>
      <w:r w:rsidR="005C21FC">
        <w:t xml:space="preserve">4:157) that Jesus only </w:t>
      </w:r>
      <w:r w:rsidR="005C21FC" w:rsidRPr="005C21FC">
        <w:rPr>
          <w:i/>
          <w:iCs/>
        </w:rPr>
        <w:t>seemed</w:t>
      </w:r>
      <w:r w:rsidR="005C21FC">
        <w:t xml:space="preserve"> to </w:t>
      </w:r>
      <w:r w:rsidR="00550CC1">
        <w:t xml:space="preserve">have </w:t>
      </w:r>
      <w:r w:rsidR="005C21FC">
        <w:t>die</w:t>
      </w:r>
      <w:r w:rsidR="00550CC1">
        <w:t>d</w:t>
      </w:r>
      <w:r w:rsidR="005C21FC">
        <w:t xml:space="preserve"> but </w:t>
      </w:r>
      <w:r>
        <w:t xml:space="preserve">actually </w:t>
      </w:r>
      <w:r w:rsidR="005C21FC">
        <w:t>didn’t.</w:t>
      </w:r>
      <w:r w:rsidR="00132CBF">
        <w:rPr>
          <w:rStyle w:val="FootnoteReference"/>
        </w:rPr>
        <w:footnoteReference w:id="9"/>
      </w:r>
    </w:p>
    <w:p w14:paraId="5DB9E37A" w14:textId="559D15F0" w:rsidR="005C21FC" w:rsidRDefault="00DF001F" w:rsidP="00F67CD5">
      <w:pPr>
        <w:spacing w:line="480" w:lineRule="auto"/>
        <w:ind w:firstLine="720"/>
        <w:jc w:val="both"/>
      </w:pPr>
      <w:r>
        <w:t xml:space="preserve">On the other hand, the </w:t>
      </w:r>
      <w:r w:rsidR="00504FBB">
        <w:t xml:space="preserve">Quranic </w:t>
      </w:r>
      <w:r>
        <w:t xml:space="preserve">presentation of Jesus as a talking baby </w:t>
      </w:r>
      <w:r w:rsidR="00C1490F">
        <w:t xml:space="preserve">could </w:t>
      </w:r>
      <w:r w:rsidR="00625289">
        <w:t xml:space="preserve">suggest some kind of </w:t>
      </w:r>
      <w:r>
        <w:t xml:space="preserve">christological </w:t>
      </w:r>
      <w:r w:rsidR="00625289">
        <w:t xml:space="preserve">preeminence, </w:t>
      </w:r>
      <w:r w:rsidR="00C22052">
        <w:t xml:space="preserve">particularly when read </w:t>
      </w:r>
      <w:r w:rsidR="001D46BD">
        <w:t xml:space="preserve">against </w:t>
      </w:r>
      <w:r w:rsidR="00B621B6">
        <w:t xml:space="preserve">a </w:t>
      </w:r>
      <w:r w:rsidR="00C22052">
        <w:t xml:space="preserve">wider </w:t>
      </w:r>
      <w:r w:rsidR="00504FBB">
        <w:t xml:space="preserve">historical </w:t>
      </w:r>
      <w:r w:rsidR="001D46BD">
        <w:t xml:space="preserve">backdrop </w:t>
      </w:r>
      <w:r w:rsidR="00C22052">
        <w:t xml:space="preserve">of </w:t>
      </w:r>
      <w:r w:rsidR="00E91465">
        <w:t>intense c</w:t>
      </w:r>
      <w:r w:rsidR="00C22052">
        <w:t>hristological debate</w:t>
      </w:r>
      <w:r>
        <w:t>s</w:t>
      </w:r>
      <w:r w:rsidR="00C22052">
        <w:t xml:space="preserve"> </w:t>
      </w:r>
      <w:r w:rsidR="00CE4691">
        <w:t xml:space="preserve">that occurred </w:t>
      </w:r>
      <w:r w:rsidR="00C22052">
        <w:t xml:space="preserve">among </w:t>
      </w:r>
      <w:r w:rsidR="00A2648F">
        <w:t xml:space="preserve">Christians </w:t>
      </w:r>
      <w:r w:rsidR="00C22052">
        <w:t xml:space="preserve">concerning the relationship between the human and divine natures of Jesus. Was Mary the bearer of God? Was the </w:t>
      </w:r>
      <w:r w:rsidR="00C22052" w:rsidRPr="00C22052">
        <w:rPr>
          <w:i/>
          <w:iCs/>
        </w:rPr>
        <w:t>infant</w:t>
      </w:r>
      <w:r w:rsidR="00C22052">
        <w:t xml:space="preserve"> Jesus </w:t>
      </w:r>
      <w:r w:rsidR="00504FBB">
        <w:t xml:space="preserve">truly </w:t>
      </w:r>
      <w:r w:rsidR="00C22052">
        <w:t xml:space="preserve">divine? </w:t>
      </w:r>
      <w:r w:rsidR="00B621B6">
        <w:t>At first sight</w:t>
      </w:r>
      <w:r w:rsidR="00C1490F">
        <w:t>, by p</w:t>
      </w:r>
      <w:r>
        <w:t xml:space="preserve">resenting </w:t>
      </w:r>
      <w:r w:rsidR="00C1490F">
        <w:t xml:space="preserve">Jesus as </w:t>
      </w:r>
      <w:r>
        <w:t>a talking infant</w:t>
      </w:r>
      <w:r w:rsidR="00C1490F">
        <w:t>, one could think that the Qur</w:t>
      </w:r>
      <w:r w:rsidR="00DF1746">
        <w:t>’</w:t>
      </w:r>
      <w:r w:rsidR="00C1490F">
        <w:t>an</w:t>
      </w:r>
      <w:r>
        <w:t xml:space="preserve"> </w:t>
      </w:r>
      <w:r w:rsidR="00C1490F">
        <w:t>w</w:t>
      </w:r>
      <w:r>
        <w:t xml:space="preserve">ould </w:t>
      </w:r>
      <w:r w:rsidR="00C1490F">
        <w:t xml:space="preserve">be </w:t>
      </w:r>
      <w:r>
        <w:t>favor</w:t>
      </w:r>
      <w:r w:rsidR="00C1490F">
        <w:t>ing</w:t>
      </w:r>
      <w:r>
        <w:t xml:space="preserve"> one Christian </w:t>
      </w:r>
      <w:r w:rsidR="00132CBF">
        <w:t xml:space="preserve">theological position </w:t>
      </w:r>
      <w:r w:rsidR="00F67CD5">
        <w:t xml:space="preserve">over </w:t>
      </w:r>
      <w:r>
        <w:t xml:space="preserve">another. </w:t>
      </w:r>
      <w:r w:rsidR="00C22052">
        <w:t xml:space="preserve">In the immediate literary context, </w:t>
      </w:r>
      <w:r>
        <w:t xml:space="preserve">however, the </w:t>
      </w:r>
      <w:r w:rsidR="00C22052">
        <w:t xml:space="preserve">inclusion </w:t>
      </w:r>
      <w:r>
        <w:t xml:space="preserve">of the speaking infant </w:t>
      </w:r>
      <w:r w:rsidR="00C22052">
        <w:t xml:space="preserve">seems to be </w:t>
      </w:r>
      <w:r w:rsidR="00FA529A">
        <w:t>made primarily for a different reason</w:t>
      </w:r>
      <w:r>
        <w:t xml:space="preserve">: </w:t>
      </w:r>
      <w:r w:rsidR="00F67CD5">
        <w:t xml:space="preserve">to safeguard the questionable </w:t>
      </w:r>
      <w:r w:rsidR="00504FBB">
        <w:t xml:space="preserve">reputation of </w:t>
      </w:r>
      <w:r w:rsidR="00A2648F">
        <w:t xml:space="preserve">Mary </w:t>
      </w:r>
      <w:r w:rsidR="00504FBB">
        <w:t>and Jesus</w:t>
      </w:r>
      <w:r w:rsidR="00F67CD5">
        <w:t>, given the exceptional circumstances surrounding the latter’s birth</w:t>
      </w:r>
      <w:r w:rsidR="002530BD">
        <w:t>.</w:t>
      </w:r>
      <w:r>
        <w:t xml:space="preserve"> </w:t>
      </w:r>
      <w:r w:rsidR="00A2648F">
        <w:t>Moreover, t</w:t>
      </w:r>
      <w:r>
        <w:t xml:space="preserve">he content the </w:t>
      </w:r>
      <w:r w:rsidR="00DF1746">
        <w:t xml:space="preserve">Quranic </w:t>
      </w:r>
      <w:r>
        <w:t xml:space="preserve">infant </w:t>
      </w:r>
      <w:r w:rsidR="00B621B6">
        <w:t xml:space="preserve">Jesus </w:t>
      </w:r>
      <w:r>
        <w:t xml:space="preserve">orally delivers </w:t>
      </w:r>
      <w:r w:rsidR="001D46BD">
        <w:t xml:space="preserve">points back to </w:t>
      </w:r>
      <w:r w:rsidR="00B621B6">
        <w:t xml:space="preserve">his </w:t>
      </w:r>
      <w:r w:rsidR="00132CBF">
        <w:t>human nature</w:t>
      </w:r>
      <w:r>
        <w:t xml:space="preserve">: </w:t>
      </w:r>
      <w:r w:rsidR="00C1490F">
        <w:t xml:space="preserve">he is (but) a slave of God, a </w:t>
      </w:r>
      <w:r w:rsidR="00C1490F">
        <w:lastRenderedPageBreak/>
        <w:t>prophet, commanded by God to pray and practice charity as long as he lives</w:t>
      </w:r>
      <w:r w:rsidR="00132CBF">
        <w:t>,</w:t>
      </w:r>
      <w:r w:rsidR="00A2648F">
        <w:t xml:space="preserve"> </w:t>
      </w:r>
      <w:r w:rsidR="00C1490F">
        <w:t>destined to die</w:t>
      </w:r>
      <w:r w:rsidR="00A2648F">
        <w:t xml:space="preserve"> </w:t>
      </w:r>
      <w:r w:rsidR="00C1490F">
        <w:t>but hopeful of the day of his resurrection</w:t>
      </w:r>
      <w:r>
        <w:t xml:space="preserve">. </w:t>
      </w:r>
      <w:r w:rsidR="00C1490F">
        <w:t xml:space="preserve">We should remember, in the context of </w:t>
      </w:r>
      <w:r w:rsidR="00B621B6">
        <w:t xml:space="preserve">the </w:t>
      </w:r>
      <w:r w:rsidR="00C1490F">
        <w:t xml:space="preserve">Enoch Seminar conferences, that the Enochic tradition ascribes extraordinary births </w:t>
      </w:r>
      <w:r w:rsidR="00293C13">
        <w:t xml:space="preserve">and virtues </w:t>
      </w:r>
      <w:r w:rsidR="00C1490F">
        <w:t xml:space="preserve">to </w:t>
      </w:r>
      <w:r w:rsidR="00A2648F">
        <w:t xml:space="preserve">other </w:t>
      </w:r>
      <w:r w:rsidR="00293C13">
        <w:t>infants</w:t>
      </w:r>
      <w:r w:rsidR="00A2648F">
        <w:t xml:space="preserve">, including </w:t>
      </w:r>
      <w:r w:rsidR="00C1490F">
        <w:t>Noah (</w:t>
      </w:r>
      <w:r w:rsidR="00C1490F">
        <w:rPr>
          <w:i/>
          <w:iCs/>
        </w:rPr>
        <w:t xml:space="preserve">1 Enoch </w:t>
      </w:r>
      <w:r w:rsidR="00C1490F">
        <w:t>106) and Methuselah (</w:t>
      </w:r>
      <w:r w:rsidR="00C1490F">
        <w:rPr>
          <w:i/>
          <w:iCs/>
        </w:rPr>
        <w:t xml:space="preserve">2 Enoch </w:t>
      </w:r>
      <w:r w:rsidR="00293C13">
        <w:t>71</w:t>
      </w:r>
      <w:r w:rsidR="00C1490F">
        <w:t>).</w:t>
      </w:r>
      <w:r w:rsidR="00C1490F">
        <w:rPr>
          <w:rStyle w:val="FootnoteReference"/>
        </w:rPr>
        <w:footnoteReference w:id="10"/>
      </w:r>
      <w:r w:rsidR="00293C13">
        <w:t xml:space="preserve"> To his credit, </w:t>
      </w:r>
      <w:r w:rsidR="00132CBF">
        <w:t xml:space="preserve">Dye </w:t>
      </w:r>
      <w:r w:rsidR="00293C13">
        <w:t xml:space="preserve">is careful to distinguish Lukan christology, which only posits a divine </w:t>
      </w:r>
      <w:r w:rsidR="00293C13">
        <w:rPr>
          <w:i/>
          <w:iCs/>
        </w:rPr>
        <w:t xml:space="preserve">sonship </w:t>
      </w:r>
      <w:r w:rsidR="00293C13">
        <w:t>for Jesus, from subsequent Christian speculations that understood the Lukan (and Matthean) virgin birth account</w:t>
      </w:r>
      <w:r w:rsidR="00504FBB">
        <w:t>s</w:t>
      </w:r>
      <w:r w:rsidR="00293C13">
        <w:t xml:space="preserve"> as evidence </w:t>
      </w:r>
      <w:r w:rsidR="00A2648F">
        <w:t xml:space="preserve">for </w:t>
      </w:r>
      <w:r w:rsidR="00293C13">
        <w:t xml:space="preserve">the divine </w:t>
      </w:r>
      <w:r w:rsidR="00293C13">
        <w:rPr>
          <w:i/>
          <w:iCs/>
        </w:rPr>
        <w:t xml:space="preserve">nature </w:t>
      </w:r>
      <w:r w:rsidR="00293C13">
        <w:t xml:space="preserve">of Jesus. As someone who has spent significant time </w:t>
      </w:r>
      <w:r w:rsidR="00F67CD5">
        <w:t xml:space="preserve">examining </w:t>
      </w:r>
      <w:r w:rsidR="00293C13">
        <w:t xml:space="preserve">the </w:t>
      </w:r>
      <w:r w:rsidR="00726403">
        <w:t xml:space="preserve">Gospel </w:t>
      </w:r>
      <w:r w:rsidR="00293C13">
        <w:t>of Luke, I find the Quranic reception of the virgin birth remarkable</w:t>
      </w:r>
      <w:r w:rsidR="00B621B6">
        <w:t>,</w:t>
      </w:r>
      <w:r w:rsidR="00293C13">
        <w:t xml:space="preserve"> </w:t>
      </w:r>
      <w:r w:rsidR="00B621B6">
        <w:t xml:space="preserve">pertinent </w:t>
      </w:r>
      <w:r w:rsidR="004033CF">
        <w:t xml:space="preserve">even </w:t>
      </w:r>
      <w:r w:rsidR="00293C13">
        <w:t>for discussing the christological perspective</w:t>
      </w:r>
      <w:r w:rsidR="00B621B6">
        <w:t xml:space="preserve"> </w:t>
      </w:r>
      <w:r w:rsidR="004033CF">
        <w:t xml:space="preserve">of </w:t>
      </w:r>
      <w:r w:rsidR="00FA529A">
        <w:t xml:space="preserve">the gospel of </w:t>
      </w:r>
      <w:r w:rsidR="00B621B6" w:rsidRPr="00F67CD5">
        <w:t>Luke</w:t>
      </w:r>
      <w:r w:rsidR="00FA529A">
        <w:rPr>
          <w:i/>
          <w:iCs/>
        </w:rPr>
        <w:t xml:space="preserve"> </w:t>
      </w:r>
      <w:r w:rsidR="00FA529A">
        <w:t>itself</w:t>
      </w:r>
      <w:r w:rsidR="00B621B6">
        <w:t xml:space="preserve">. </w:t>
      </w:r>
      <w:r w:rsidR="004033CF">
        <w:t xml:space="preserve">The </w:t>
      </w:r>
      <w:r w:rsidR="00B621B6">
        <w:t>Qur</w:t>
      </w:r>
      <w:r w:rsidR="00DF1746">
        <w:t>’</w:t>
      </w:r>
      <w:r w:rsidR="00B621B6">
        <w:t xml:space="preserve">an </w:t>
      </w:r>
      <w:r w:rsidR="00293C13">
        <w:t>remind</w:t>
      </w:r>
      <w:r w:rsidR="00B621B6">
        <w:t>s</w:t>
      </w:r>
      <w:r w:rsidR="00293C13">
        <w:t xml:space="preserve"> </w:t>
      </w:r>
      <w:r w:rsidR="00A2648F">
        <w:t xml:space="preserve">readers of the </w:t>
      </w:r>
      <w:r w:rsidR="00293C13">
        <w:t xml:space="preserve">New Testament not to </w:t>
      </w:r>
      <w:r w:rsidR="001D46BD">
        <w:t xml:space="preserve">assume </w:t>
      </w:r>
      <w:r w:rsidR="00293C13">
        <w:t xml:space="preserve">that </w:t>
      </w:r>
      <w:r w:rsidR="00474E2B">
        <w:t xml:space="preserve">the virgin birth in Luke presents Jesus </w:t>
      </w:r>
      <w:r w:rsidR="00FA529A">
        <w:t xml:space="preserve">as a </w:t>
      </w:r>
      <w:r w:rsidR="00474E2B" w:rsidRPr="00E428FD">
        <w:t>preexistent</w:t>
      </w:r>
      <w:r w:rsidR="00FA529A" w:rsidRPr="00E428FD">
        <w:t xml:space="preserve"> divine</w:t>
      </w:r>
      <w:r w:rsidR="00FA529A">
        <w:t xml:space="preserve"> being</w:t>
      </w:r>
      <w:r w:rsidR="00474E2B">
        <w:t xml:space="preserve">. </w:t>
      </w:r>
      <w:r w:rsidR="00B621B6">
        <w:t>Indeed, n</w:t>
      </w:r>
      <w:r w:rsidR="00474E2B">
        <w:t xml:space="preserve">othing is </w:t>
      </w:r>
      <w:r w:rsidR="00B621B6">
        <w:t>over</w:t>
      </w:r>
      <w:r w:rsidR="00FA529A">
        <w:t>t</w:t>
      </w:r>
      <w:r w:rsidR="00B621B6">
        <w:t xml:space="preserve">ly </w:t>
      </w:r>
      <w:r w:rsidR="00474E2B">
        <w:t xml:space="preserve">said throughout Luke (and Acts) about </w:t>
      </w:r>
      <w:r w:rsidR="00DF1746">
        <w:t xml:space="preserve">Christ’s </w:t>
      </w:r>
      <w:r w:rsidR="00474E2B">
        <w:t xml:space="preserve">preexistence. </w:t>
      </w:r>
      <w:r w:rsidR="00B621B6">
        <w:t xml:space="preserve">It could be argued that </w:t>
      </w:r>
      <w:r w:rsidR="00132CBF">
        <w:t xml:space="preserve">according to Luke </w:t>
      </w:r>
      <w:r w:rsidR="00037522">
        <w:t>the messiah</w:t>
      </w:r>
      <w:r w:rsidR="00132CBF">
        <w:t xml:space="preserve">, </w:t>
      </w:r>
      <w:r w:rsidR="00474E2B">
        <w:t xml:space="preserve">despite his miraculous birth, comes into being upon conception and is equated with the </w:t>
      </w:r>
      <w:r w:rsidR="00037522">
        <w:t xml:space="preserve">heavenly </w:t>
      </w:r>
      <w:r w:rsidR="00474E2B">
        <w:t xml:space="preserve">Son of Man only later on in Luke-Acts during Jesus’ adult years. </w:t>
      </w:r>
      <w:r w:rsidR="00E91465">
        <w:t>A</w:t>
      </w:r>
      <w:r w:rsidR="00474E2B">
        <w:t xml:space="preserve"> thorough engagement with early Jewish and Christian sources </w:t>
      </w:r>
      <w:r w:rsidR="004033CF">
        <w:t xml:space="preserve">is </w:t>
      </w:r>
      <w:r w:rsidR="00474E2B">
        <w:t>necessary to understand the Qur</w:t>
      </w:r>
      <w:r w:rsidR="00C96173">
        <w:t>’</w:t>
      </w:r>
      <w:r w:rsidR="00474E2B">
        <w:t>an</w:t>
      </w:r>
      <w:r w:rsidR="00B621B6">
        <w:t xml:space="preserve"> from a historical point of view</w:t>
      </w:r>
      <w:r w:rsidR="00474E2B">
        <w:t xml:space="preserve">, as </w:t>
      </w:r>
      <w:r w:rsidR="00DC05D9">
        <w:t xml:space="preserve">Dye </w:t>
      </w:r>
      <w:r w:rsidR="00474E2B">
        <w:t xml:space="preserve">finely demonstrates. </w:t>
      </w:r>
      <w:r w:rsidR="004033CF">
        <w:t xml:space="preserve">But </w:t>
      </w:r>
      <w:r w:rsidR="00060366">
        <w:t>the Quran</w:t>
      </w:r>
      <w:r w:rsidR="00504FBB">
        <w:t>ic trajectory</w:t>
      </w:r>
      <w:r w:rsidR="00060366">
        <w:t xml:space="preserve"> </w:t>
      </w:r>
      <w:r w:rsidR="00B621B6">
        <w:t xml:space="preserve">could </w:t>
      </w:r>
      <w:r w:rsidR="00060366">
        <w:t xml:space="preserve">invite </w:t>
      </w:r>
      <w:r w:rsidR="00E91465">
        <w:t xml:space="preserve">in certain instances </w:t>
      </w:r>
      <w:r w:rsidR="00B621B6">
        <w:t xml:space="preserve">interesting </w:t>
      </w:r>
      <w:r w:rsidR="00060366">
        <w:t>reassessment</w:t>
      </w:r>
      <w:r w:rsidR="00B621B6">
        <w:t>s</w:t>
      </w:r>
      <w:r w:rsidR="00060366">
        <w:t xml:space="preserve"> of </w:t>
      </w:r>
      <w:r w:rsidR="00B621B6">
        <w:t xml:space="preserve">particular </w:t>
      </w:r>
      <w:r w:rsidR="00060366">
        <w:t xml:space="preserve">passages </w:t>
      </w:r>
      <w:r w:rsidR="00A2648F">
        <w:t xml:space="preserve">contained in </w:t>
      </w:r>
      <w:r w:rsidR="00B621B6">
        <w:t xml:space="preserve">earlier </w:t>
      </w:r>
      <w:r w:rsidR="00060366">
        <w:t>Christian and Jewish writings.</w:t>
      </w:r>
      <w:r w:rsidR="00037522">
        <w:t xml:space="preserve"> </w:t>
      </w:r>
      <w:r w:rsidR="004033CF">
        <w:t>In sum, Q</w:t>
      </w:r>
      <w:r w:rsidR="00037522">
        <w:t xml:space="preserve"> 19:1-63 in its original form is not </w:t>
      </w:r>
      <w:r w:rsidR="004033CF">
        <w:t xml:space="preserve">definitively </w:t>
      </w:r>
      <w:r w:rsidR="00037522">
        <w:t>“anti-Christian,” but representative of a “</w:t>
      </w:r>
      <w:r w:rsidR="00CE4691">
        <w:t>lower</w:t>
      </w:r>
      <w:r w:rsidR="008B3BCE">
        <w:t>” c</w:t>
      </w:r>
      <w:r w:rsidR="00037522">
        <w:t>hristology</w:t>
      </w:r>
      <w:r w:rsidR="00CE4691">
        <w:t xml:space="preserve"> that viewed Jesus </w:t>
      </w:r>
      <w:r w:rsidR="00DF1746">
        <w:t xml:space="preserve">simply </w:t>
      </w:r>
      <w:r w:rsidR="00CE4691">
        <w:t>as a human being</w:t>
      </w:r>
      <w:r w:rsidR="00DC05D9">
        <w:t>.</w:t>
      </w:r>
      <w:r w:rsidR="00037522">
        <w:t xml:space="preserve"> </w:t>
      </w:r>
    </w:p>
    <w:p w14:paraId="3F58ABE4" w14:textId="02653849" w:rsidR="00726403" w:rsidRDefault="0088352D" w:rsidP="00A14CF2">
      <w:pPr>
        <w:spacing w:line="480" w:lineRule="auto"/>
        <w:ind w:firstLine="720"/>
        <w:jc w:val="both"/>
        <w:rPr>
          <w:rFonts w:cs="Times New Roman"/>
          <w:szCs w:val="24"/>
        </w:rPr>
      </w:pPr>
      <w:r>
        <w:t xml:space="preserve">One final question I raise concerns the acquaintance of the author of the original form of </w:t>
      </w:r>
      <w:r w:rsidR="008B3BCE">
        <w:t xml:space="preserve">Q </w:t>
      </w:r>
      <w:r>
        <w:t xml:space="preserve">19:1–63 with Aramaic </w:t>
      </w:r>
      <w:r w:rsidR="00504FBB">
        <w:t>or Syriac</w:t>
      </w:r>
      <w:r>
        <w:t xml:space="preserve">. </w:t>
      </w:r>
      <w:r w:rsidR="00112A1E">
        <w:t xml:space="preserve">It is remarkable, indeed, as </w:t>
      </w:r>
      <w:r w:rsidR="008B3BCE">
        <w:t xml:space="preserve">Dye </w:t>
      </w:r>
      <w:r w:rsidR="00112A1E">
        <w:t xml:space="preserve">points out, that the </w:t>
      </w:r>
      <w:r w:rsidR="008B3BCE">
        <w:t xml:space="preserve">Arabic </w:t>
      </w:r>
      <w:r w:rsidR="00112A1E">
        <w:t xml:space="preserve">word </w:t>
      </w:r>
      <w:proofErr w:type="spellStart"/>
      <w:r w:rsidR="00112A1E">
        <w:rPr>
          <w:i/>
          <w:iCs/>
        </w:rPr>
        <w:t>hanan</w:t>
      </w:r>
      <w:proofErr w:type="spellEnd"/>
      <w:r w:rsidR="00112A1E">
        <w:rPr>
          <w:i/>
          <w:iCs/>
        </w:rPr>
        <w:t xml:space="preserve"> </w:t>
      </w:r>
      <w:r w:rsidR="00643C60">
        <w:t xml:space="preserve">is a hapax legomenon </w:t>
      </w:r>
      <w:r w:rsidR="00504FBB">
        <w:t>in the Qur</w:t>
      </w:r>
      <w:r w:rsidR="00643C60">
        <w:t>’</w:t>
      </w:r>
      <w:r w:rsidR="00504FBB">
        <w:t>an</w:t>
      </w:r>
      <w:r w:rsidR="00112A1E">
        <w:t xml:space="preserve">. This </w:t>
      </w:r>
      <w:r w:rsidR="00B621B6">
        <w:t xml:space="preserve">is </w:t>
      </w:r>
      <w:r w:rsidR="00037522">
        <w:t xml:space="preserve">probably </w:t>
      </w:r>
      <w:r w:rsidR="00B621B6">
        <w:t xml:space="preserve">not </w:t>
      </w:r>
      <w:r w:rsidR="00112A1E">
        <w:t xml:space="preserve">a mere </w:t>
      </w:r>
      <w:r w:rsidR="00B621B6">
        <w:t>accident</w:t>
      </w:r>
      <w:r w:rsidR="00E91465">
        <w:t>.</w:t>
      </w:r>
      <w:r w:rsidR="00B621B6">
        <w:t xml:space="preserve"> </w:t>
      </w:r>
      <w:r w:rsidR="00E91465">
        <w:t>B</w:t>
      </w:r>
      <w:r w:rsidR="00112A1E">
        <w:t xml:space="preserve">ehind </w:t>
      </w:r>
      <w:r w:rsidR="00112A1E">
        <w:lastRenderedPageBreak/>
        <w:t xml:space="preserve">this </w:t>
      </w:r>
      <w:r w:rsidR="00B621B6">
        <w:t xml:space="preserve">unique occurrence </w:t>
      </w:r>
      <w:r w:rsidR="00037522">
        <w:t xml:space="preserve">likely </w:t>
      </w:r>
      <w:r w:rsidR="00112A1E">
        <w:t xml:space="preserve">stands a play of words with John’s name in Hebrew, </w:t>
      </w:r>
      <w:r w:rsidR="00927255">
        <w:rPr>
          <w:i/>
          <w:iCs/>
        </w:rPr>
        <w:t>Yohanan</w:t>
      </w:r>
      <w:r w:rsidR="00927255">
        <w:t xml:space="preserve">. </w:t>
      </w:r>
      <w:r w:rsidR="00E91465">
        <w:t xml:space="preserve">In </w:t>
      </w:r>
      <w:r w:rsidR="00F85944">
        <w:t xml:space="preserve">biblical Hebrew the meaning of the root </w:t>
      </w:r>
      <w:proofErr w:type="spellStart"/>
      <w:r w:rsidR="00F85944">
        <w:rPr>
          <w:i/>
          <w:iCs/>
        </w:rPr>
        <w:t>hnn</w:t>
      </w:r>
      <w:proofErr w:type="spellEnd"/>
      <w:r w:rsidR="00F85944">
        <w:t xml:space="preserve"> refers </w:t>
      </w:r>
      <w:r w:rsidR="00A2648F">
        <w:t xml:space="preserve">primarily </w:t>
      </w:r>
      <w:r w:rsidR="00F85944">
        <w:t xml:space="preserve">to the </w:t>
      </w:r>
      <w:r w:rsidR="00C64C4F">
        <w:t xml:space="preserve">concept </w:t>
      </w:r>
      <w:r w:rsidR="00F85944">
        <w:t xml:space="preserve">of </w:t>
      </w:r>
      <w:r w:rsidR="007D4945">
        <w:t>“</w:t>
      </w:r>
      <w:r w:rsidR="00F85944">
        <w:t>grace</w:t>
      </w:r>
      <w:r w:rsidR="007D4945">
        <w:t xml:space="preserve">,” </w:t>
      </w:r>
      <w:r w:rsidR="00C64C4F">
        <w:t xml:space="preserve">of </w:t>
      </w:r>
      <w:r w:rsidR="007D4945">
        <w:t>“</w:t>
      </w:r>
      <w:r w:rsidR="00F85944">
        <w:t>being gracious</w:t>
      </w:r>
      <w:r w:rsidR="007D4945">
        <w:t>” or “showing favor</w:t>
      </w:r>
      <w:r w:rsidR="00F85944">
        <w:t>.</w:t>
      </w:r>
      <w:r w:rsidR="007D4945">
        <w:t>”</w:t>
      </w:r>
      <w:r w:rsidR="00F85944">
        <w:rPr>
          <w:rStyle w:val="FootnoteReference"/>
        </w:rPr>
        <w:footnoteReference w:id="11"/>
      </w:r>
      <w:r w:rsidR="007D4945">
        <w:t xml:space="preserve"> This meaning is carried on into rabbinic Hebrew and Aramaic,</w:t>
      </w:r>
      <w:r w:rsidR="007D4945" w:rsidRPr="007D4945">
        <w:rPr>
          <w:rStyle w:val="FootnoteReference"/>
        </w:rPr>
        <w:t xml:space="preserve"> </w:t>
      </w:r>
      <w:r w:rsidR="007D4945">
        <w:rPr>
          <w:rStyle w:val="FootnoteReference"/>
        </w:rPr>
        <w:footnoteReference w:id="12"/>
      </w:r>
      <w:r w:rsidR="007D4945">
        <w:t xml:space="preserve"> although one also </w:t>
      </w:r>
      <w:r w:rsidR="00E91465">
        <w:t xml:space="preserve">comes across </w:t>
      </w:r>
      <w:r w:rsidR="007D4945">
        <w:t>the closely</w:t>
      </w:r>
      <w:r w:rsidR="00E91465">
        <w:t xml:space="preserve"> </w:t>
      </w:r>
      <w:r w:rsidR="007D4945">
        <w:t>related notion of “mercy” in Aramaic, notably in Syriac.</w:t>
      </w:r>
      <w:r w:rsidR="007D4945">
        <w:rPr>
          <w:rStyle w:val="FootnoteReference"/>
        </w:rPr>
        <w:footnoteReference w:id="13"/>
      </w:r>
      <w:r w:rsidR="0088557C">
        <w:t xml:space="preserve"> This semantic range makes it even more </w:t>
      </w:r>
      <w:r w:rsidR="005F1EAE">
        <w:t xml:space="preserve">challenging </w:t>
      </w:r>
      <w:r w:rsidR="0088557C">
        <w:t xml:space="preserve">to translate the Arabic </w:t>
      </w:r>
      <w:proofErr w:type="spellStart"/>
      <w:r w:rsidR="0088557C">
        <w:rPr>
          <w:i/>
          <w:iCs/>
        </w:rPr>
        <w:t>hanan</w:t>
      </w:r>
      <w:proofErr w:type="spellEnd"/>
      <w:r w:rsidR="0088557C">
        <w:t xml:space="preserve"> in </w:t>
      </w:r>
      <w:r w:rsidR="00B621B6">
        <w:t xml:space="preserve">surah </w:t>
      </w:r>
      <w:r w:rsidR="0088557C">
        <w:t>19:13. Should it be rendered as “grace”</w:t>
      </w:r>
      <w:r w:rsidR="0088557C">
        <w:rPr>
          <w:rStyle w:val="FootnoteReference"/>
        </w:rPr>
        <w:footnoteReference w:id="14"/>
      </w:r>
      <w:r w:rsidR="0088557C">
        <w:t xml:space="preserve"> </w:t>
      </w:r>
      <w:r w:rsidR="0073557F">
        <w:t xml:space="preserve">or “mercy”? The first option might </w:t>
      </w:r>
      <w:r w:rsidR="00F67CD5">
        <w:t xml:space="preserve">seem </w:t>
      </w:r>
      <w:r w:rsidR="0073557F">
        <w:t>more appropriate, give</w:t>
      </w:r>
      <w:r w:rsidR="00890EC2">
        <w:t xml:space="preserve">n the explanation in Luke 1:80 stating </w:t>
      </w:r>
      <w:r w:rsidR="0073557F">
        <w:t xml:space="preserve">that </w:t>
      </w:r>
      <w:r w:rsidR="00B621B6">
        <w:t xml:space="preserve">the </w:t>
      </w:r>
      <w:r w:rsidR="0073557F">
        <w:t>child John “</w:t>
      </w:r>
      <w:r w:rsidR="0073557F">
        <w:rPr>
          <w:rFonts w:cs="Times New Roman"/>
          <w:szCs w:val="24"/>
        </w:rPr>
        <w:t>grew and became strong in spirit</w:t>
      </w:r>
      <w:r w:rsidR="00890EC2">
        <w:rPr>
          <w:rFonts w:cs="Times New Roman"/>
          <w:szCs w:val="24"/>
        </w:rPr>
        <w:t>,</w:t>
      </w:r>
      <w:r w:rsidR="0073557F">
        <w:rPr>
          <w:rFonts w:cs="Times New Roman"/>
          <w:szCs w:val="24"/>
        </w:rPr>
        <w:t>”</w:t>
      </w:r>
      <w:r w:rsidR="00890EC2">
        <w:rPr>
          <w:rFonts w:cs="Times New Roman"/>
          <w:szCs w:val="24"/>
        </w:rPr>
        <w:t xml:space="preserve"> suggesting that he found favor</w:t>
      </w:r>
      <w:r w:rsidR="001D46BD">
        <w:rPr>
          <w:rFonts w:cs="Times New Roman"/>
          <w:szCs w:val="24"/>
        </w:rPr>
        <w:t xml:space="preserve"> or grace</w:t>
      </w:r>
      <w:r w:rsidR="00924F2D">
        <w:rPr>
          <w:rFonts w:cs="Times New Roman"/>
          <w:szCs w:val="24"/>
        </w:rPr>
        <w:t xml:space="preserve"> in God’s sight.</w:t>
      </w:r>
      <w:r w:rsidR="00890EC2">
        <w:rPr>
          <w:rStyle w:val="FootnoteReference"/>
          <w:rFonts w:cs="Times New Roman"/>
          <w:szCs w:val="24"/>
        </w:rPr>
        <w:footnoteReference w:id="15"/>
      </w:r>
      <w:r w:rsidR="0073557F">
        <w:rPr>
          <w:rFonts w:cs="Times New Roman"/>
          <w:szCs w:val="24"/>
        </w:rPr>
        <w:t xml:space="preserve"> </w:t>
      </w:r>
      <w:r w:rsidR="00890EC2">
        <w:rPr>
          <w:rFonts w:cs="Times New Roman"/>
          <w:szCs w:val="24"/>
        </w:rPr>
        <w:t>On the other hand, statements such as Luke 1:54</w:t>
      </w:r>
      <w:r w:rsidR="00726403">
        <w:rPr>
          <w:rFonts w:cs="Times New Roman"/>
          <w:szCs w:val="24"/>
        </w:rPr>
        <w:t>,</w:t>
      </w:r>
      <w:r w:rsidR="00504FBB">
        <w:rPr>
          <w:rFonts w:cs="Times New Roman"/>
          <w:szCs w:val="24"/>
        </w:rPr>
        <w:t xml:space="preserve"> </w:t>
      </w:r>
      <w:r w:rsidR="008441E8">
        <w:rPr>
          <w:rFonts w:cs="Times New Roman"/>
          <w:szCs w:val="24"/>
        </w:rPr>
        <w:t>“He has helped his servant Israel, in remembrance of his mercy”</w:t>
      </w:r>
      <w:r w:rsidR="00B621B6">
        <w:rPr>
          <w:rFonts w:cs="Times New Roman"/>
          <w:szCs w:val="24"/>
        </w:rPr>
        <w:t xml:space="preserve"> </w:t>
      </w:r>
      <w:r w:rsidR="00726403">
        <w:rPr>
          <w:rFonts w:cs="Times New Roman"/>
          <w:szCs w:val="24"/>
        </w:rPr>
        <w:t>(</w:t>
      </w:r>
      <w:r w:rsidR="00E91465">
        <w:rPr>
          <w:rFonts w:cs="Times New Roman"/>
          <w:szCs w:val="24"/>
        </w:rPr>
        <w:t xml:space="preserve">Greek: </w:t>
      </w:r>
      <w:proofErr w:type="spellStart"/>
      <w:r w:rsidR="00B621B6">
        <w:rPr>
          <w:rFonts w:cs="Times New Roman"/>
          <w:i/>
          <w:iCs/>
          <w:szCs w:val="24"/>
        </w:rPr>
        <w:t>eleos</w:t>
      </w:r>
      <w:proofErr w:type="spellEnd"/>
      <w:r w:rsidR="008441E8">
        <w:rPr>
          <w:rFonts w:cs="Times New Roman"/>
          <w:szCs w:val="24"/>
        </w:rPr>
        <w:t xml:space="preserve">; cf. </w:t>
      </w:r>
      <w:r w:rsidR="00726403">
        <w:rPr>
          <w:rFonts w:cs="Times New Roman"/>
          <w:szCs w:val="24"/>
        </w:rPr>
        <w:t xml:space="preserve">Luke </w:t>
      </w:r>
      <w:r w:rsidR="008441E8">
        <w:rPr>
          <w:rFonts w:cs="Times New Roman"/>
          <w:szCs w:val="24"/>
        </w:rPr>
        <w:t>1:78</w:t>
      </w:r>
      <w:r w:rsidR="00504FBB">
        <w:rPr>
          <w:rFonts w:cs="Times New Roman"/>
          <w:szCs w:val="24"/>
        </w:rPr>
        <w:t>)</w:t>
      </w:r>
      <w:r w:rsidR="00890EC2">
        <w:rPr>
          <w:rFonts w:cs="Times New Roman"/>
          <w:szCs w:val="24"/>
        </w:rPr>
        <w:t xml:space="preserve">, may have led Aramaic speaking Christians to </w:t>
      </w:r>
      <w:r w:rsidR="005F1EAE">
        <w:rPr>
          <w:rFonts w:cs="Times New Roman"/>
          <w:szCs w:val="24"/>
        </w:rPr>
        <w:t xml:space="preserve">associate </w:t>
      </w:r>
      <w:r w:rsidR="00890EC2">
        <w:rPr>
          <w:rFonts w:cs="Times New Roman"/>
          <w:szCs w:val="24"/>
        </w:rPr>
        <w:t xml:space="preserve">the name of </w:t>
      </w:r>
      <w:r w:rsidR="00890EC2">
        <w:rPr>
          <w:rFonts w:cs="Times New Roman"/>
          <w:i/>
          <w:iCs/>
          <w:szCs w:val="24"/>
        </w:rPr>
        <w:t xml:space="preserve">Yohanan </w:t>
      </w:r>
      <w:r w:rsidR="00890EC2">
        <w:rPr>
          <w:rFonts w:cs="Times New Roman"/>
          <w:szCs w:val="24"/>
        </w:rPr>
        <w:t xml:space="preserve">with the </w:t>
      </w:r>
      <w:r w:rsidR="00BD475F">
        <w:rPr>
          <w:rFonts w:cs="Times New Roman"/>
          <w:szCs w:val="24"/>
        </w:rPr>
        <w:t xml:space="preserve">notion </w:t>
      </w:r>
      <w:r w:rsidR="00890EC2">
        <w:rPr>
          <w:rFonts w:cs="Times New Roman"/>
          <w:szCs w:val="24"/>
        </w:rPr>
        <w:t xml:space="preserve">of divine mercy and intervention. </w:t>
      </w:r>
    </w:p>
    <w:p w14:paraId="47C72B3C" w14:textId="77777777" w:rsidR="0088352D" w:rsidRDefault="00890EC2" w:rsidP="00BD475F">
      <w:pPr>
        <w:spacing w:line="480" w:lineRule="auto"/>
        <w:ind w:firstLine="720"/>
        <w:jc w:val="both"/>
      </w:pPr>
      <w:r>
        <w:rPr>
          <w:rFonts w:cs="Times New Roman"/>
          <w:szCs w:val="24"/>
        </w:rPr>
        <w:t>Regardless of the choice one makes</w:t>
      </w:r>
      <w:r w:rsidR="00B621B6">
        <w:rPr>
          <w:rFonts w:cs="Times New Roman"/>
          <w:szCs w:val="24"/>
        </w:rPr>
        <w:t xml:space="preserve"> here</w:t>
      </w:r>
      <w:r>
        <w:rPr>
          <w:rFonts w:cs="Times New Roman"/>
          <w:szCs w:val="24"/>
        </w:rPr>
        <w:t xml:space="preserve">, why </w:t>
      </w:r>
      <w:r w:rsidR="00924F2D">
        <w:rPr>
          <w:rFonts w:cs="Times New Roman"/>
          <w:szCs w:val="24"/>
        </w:rPr>
        <w:t xml:space="preserve">is </w:t>
      </w:r>
      <w:r>
        <w:rPr>
          <w:rFonts w:cs="Times New Roman"/>
          <w:szCs w:val="24"/>
        </w:rPr>
        <w:t xml:space="preserve">the name </w:t>
      </w:r>
      <w:r>
        <w:rPr>
          <w:rFonts w:cs="Times New Roman"/>
          <w:i/>
          <w:iCs/>
          <w:szCs w:val="24"/>
        </w:rPr>
        <w:t xml:space="preserve">Yohanan </w:t>
      </w:r>
      <w:r>
        <w:rPr>
          <w:rFonts w:cs="Times New Roman"/>
          <w:szCs w:val="24"/>
        </w:rPr>
        <w:t xml:space="preserve">rendered as </w:t>
      </w:r>
      <w:r>
        <w:rPr>
          <w:rFonts w:cs="Times New Roman"/>
          <w:i/>
          <w:iCs/>
          <w:szCs w:val="24"/>
        </w:rPr>
        <w:t xml:space="preserve">Yahya </w:t>
      </w:r>
      <w:r>
        <w:rPr>
          <w:rFonts w:cs="Times New Roman"/>
          <w:szCs w:val="24"/>
        </w:rPr>
        <w:t xml:space="preserve">in </w:t>
      </w:r>
      <w:r w:rsidR="004102E9">
        <w:rPr>
          <w:rFonts w:cs="Times New Roman"/>
          <w:szCs w:val="24"/>
        </w:rPr>
        <w:t>Q</w:t>
      </w:r>
      <w:r w:rsidR="00BD475F">
        <w:rPr>
          <w:rFonts w:cs="Times New Roman"/>
          <w:szCs w:val="24"/>
        </w:rPr>
        <w:t xml:space="preserve"> </w:t>
      </w:r>
      <w:r>
        <w:rPr>
          <w:rFonts w:cs="Times New Roman"/>
          <w:szCs w:val="24"/>
        </w:rPr>
        <w:t xml:space="preserve">19? Did the original author of </w:t>
      </w:r>
      <w:r w:rsidR="00BD475F">
        <w:rPr>
          <w:rFonts w:cs="Times New Roman"/>
          <w:szCs w:val="24"/>
        </w:rPr>
        <w:t xml:space="preserve">Q </w:t>
      </w:r>
      <w:r>
        <w:rPr>
          <w:rFonts w:cs="Times New Roman"/>
          <w:szCs w:val="24"/>
        </w:rPr>
        <w:t xml:space="preserve">19:1–63 know Aramaic in contrast to the (final?) editor of this pericope who added the more polemical verses </w:t>
      </w:r>
      <w:r w:rsidR="00924F2D">
        <w:rPr>
          <w:rFonts w:cs="Times New Roman"/>
          <w:szCs w:val="24"/>
        </w:rPr>
        <w:t xml:space="preserve">found </w:t>
      </w:r>
      <w:r>
        <w:rPr>
          <w:rFonts w:cs="Times New Roman"/>
          <w:szCs w:val="24"/>
        </w:rPr>
        <w:t xml:space="preserve">in 19:34–40 and also altered John’s name? </w:t>
      </w:r>
      <w:r w:rsidR="001D46BD">
        <w:rPr>
          <w:rFonts w:cs="Times New Roman"/>
          <w:szCs w:val="24"/>
        </w:rPr>
        <w:t>Or w</w:t>
      </w:r>
      <w:r w:rsidR="008441E8">
        <w:rPr>
          <w:rFonts w:cs="Times New Roman"/>
          <w:szCs w:val="24"/>
        </w:rPr>
        <w:t xml:space="preserve">as the alteration of John’s name </w:t>
      </w:r>
      <w:r w:rsidR="00B621B6">
        <w:rPr>
          <w:rFonts w:cs="Times New Roman"/>
          <w:szCs w:val="24"/>
        </w:rPr>
        <w:t xml:space="preserve">originally </w:t>
      </w:r>
      <w:r w:rsidR="008441E8">
        <w:rPr>
          <w:rFonts w:cs="Times New Roman"/>
          <w:szCs w:val="24"/>
        </w:rPr>
        <w:t xml:space="preserve">deliberate? </w:t>
      </w:r>
      <w:r w:rsidR="004033CF">
        <w:rPr>
          <w:rFonts w:cs="Times New Roman"/>
          <w:szCs w:val="24"/>
        </w:rPr>
        <w:t xml:space="preserve">In any case, </w:t>
      </w:r>
      <w:r w:rsidR="00C64C4F">
        <w:rPr>
          <w:rFonts w:cs="Times New Roman"/>
          <w:szCs w:val="24"/>
        </w:rPr>
        <w:t xml:space="preserve">the </w:t>
      </w:r>
      <w:r w:rsidR="008441E8">
        <w:rPr>
          <w:rFonts w:cs="Times New Roman"/>
          <w:szCs w:val="24"/>
        </w:rPr>
        <w:t xml:space="preserve">change </w:t>
      </w:r>
      <w:r w:rsidR="00C64C4F">
        <w:rPr>
          <w:rFonts w:cs="Times New Roman"/>
          <w:szCs w:val="24"/>
        </w:rPr>
        <w:t xml:space="preserve">of </w:t>
      </w:r>
      <w:r w:rsidR="00B621B6" w:rsidRPr="00B621B6">
        <w:rPr>
          <w:rFonts w:cs="Times New Roman"/>
          <w:i/>
          <w:iCs/>
          <w:szCs w:val="24"/>
        </w:rPr>
        <w:t>Yohanan</w:t>
      </w:r>
      <w:r w:rsidR="00B621B6">
        <w:rPr>
          <w:rFonts w:cs="Times New Roman"/>
          <w:szCs w:val="24"/>
        </w:rPr>
        <w:t xml:space="preserve"> </w:t>
      </w:r>
      <w:r w:rsidR="00C64C4F">
        <w:rPr>
          <w:rFonts w:cs="Times New Roman"/>
          <w:szCs w:val="24"/>
        </w:rPr>
        <w:t xml:space="preserve">to </w:t>
      </w:r>
      <w:r w:rsidR="00C64C4F">
        <w:rPr>
          <w:rFonts w:cs="Times New Roman"/>
          <w:i/>
          <w:iCs/>
          <w:szCs w:val="24"/>
        </w:rPr>
        <w:t xml:space="preserve">Yahya </w:t>
      </w:r>
      <w:r w:rsidR="00C64C4F">
        <w:rPr>
          <w:rFonts w:cs="Times New Roman"/>
          <w:szCs w:val="24"/>
        </w:rPr>
        <w:t xml:space="preserve">links the proper noun to the word </w:t>
      </w:r>
      <w:proofErr w:type="spellStart"/>
      <w:r w:rsidR="00C64C4F" w:rsidRPr="00C64C4F">
        <w:rPr>
          <w:rFonts w:cs="Times New Roman"/>
          <w:i/>
          <w:iCs/>
          <w:szCs w:val="24"/>
        </w:rPr>
        <w:t>hayya</w:t>
      </w:r>
      <w:proofErr w:type="spellEnd"/>
      <w:r w:rsidR="00C64C4F">
        <w:rPr>
          <w:rFonts w:cs="Times New Roman"/>
          <w:szCs w:val="24"/>
        </w:rPr>
        <w:t xml:space="preserve"> (“life”), which appears in</w:t>
      </w:r>
      <w:r w:rsidR="00E428FD">
        <w:rPr>
          <w:rFonts w:cs="Times New Roman"/>
          <w:szCs w:val="24"/>
        </w:rPr>
        <w:t xml:space="preserve"> </w:t>
      </w:r>
      <w:r w:rsidR="00C64C4F">
        <w:rPr>
          <w:rFonts w:cs="Times New Roman"/>
          <w:szCs w:val="24"/>
        </w:rPr>
        <w:t xml:space="preserve">both </w:t>
      </w:r>
      <w:r w:rsidR="00E428FD">
        <w:rPr>
          <w:rFonts w:cs="Times New Roman"/>
          <w:szCs w:val="24"/>
        </w:rPr>
        <w:t xml:space="preserve">Q </w:t>
      </w:r>
      <w:r w:rsidR="00C64C4F" w:rsidRPr="00C64C4F">
        <w:rPr>
          <w:rFonts w:cs="Times New Roman"/>
          <w:szCs w:val="24"/>
        </w:rPr>
        <w:t>19</w:t>
      </w:r>
      <w:r w:rsidR="00C64C4F">
        <w:rPr>
          <w:rFonts w:cs="Times New Roman"/>
          <w:szCs w:val="24"/>
        </w:rPr>
        <w:t>:15 and 19:33, creating a</w:t>
      </w:r>
      <w:r w:rsidR="00B52875">
        <w:rPr>
          <w:rFonts w:cs="Times New Roman"/>
          <w:szCs w:val="24"/>
        </w:rPr>
        <w:t>n even</w:t>
      </w:r>
      <w:r w:rsidR="00C64C4F">
        <w:rPr>
          <w:rFonts w:cs="Times New Roman"/>
          <w:szCs w:val="24"/>
        </w:rPr>
        <w:t xml:space="preserve"> greater correspondence between John and Jesus.</w:t>
      </w:r>
      <w:r w:rsidR="00B52875">
        <w:rPr>
          <w:rFonts w:cs="Times New Roman"/>
          <w:szCs w:val="24"/>
        </w:rPr>
        <w:t xml:space="preserve"> </w:t>
      </w:r>
      <w:r w:rsidR="00B52875">
        <w:t xml:space="preserve">I would </w:t>
      </w:r>
      <w:r w:rsidR="00D008CD">
        <w:t xml:space="preserve">suggest </w:t>
      </w:r>
      <w:r w:rsidR="00B52875">
        <w:t xml:space="preserve">that the claim in </w:t>
      </w:r>
      <w:r w:rsidR="004102E9">
        <w:t xml:space="preserve">Q </w:t>
      </w:r>
      <w:r w:rsidR="00B52875">
        <w:t xml:space="preserve">19:7 with respect to the unprecedented divine naming of John as </w:t>
      </w:r>
      <w:r w:rsidR="00B52875">
        <w:rPr>
          <w:i/>
          <w:iCs/>
        </w:rPr>
        <w:t xml:space="preserve">Yahya </w:t>
      </w:r>
      <w:r w:rsidR="00B52875">
        <w:t>might ultimately stem from some kind of Christian or Quranic exegesis that trie</w:t>
      </w:r>
      <w:r w:rsidR="00D008CD">
        <w:t>d</w:t>
      </w:r>
      <w:r w:rsidR="00B52875">
        <w:t xml:space="preserve"> to account for the </w:t>
      </w:r>
      <w:r w:rsidR="008441E8">
        <w:t xml:space="preserve">rather unique </w:t>
      </w:r>
      <w:r w:rsidR="00B52875">
        <w:t xml:space="preserve">episode related in Luke 1:59–63. In that Lukan pericope, Elizabeth </w:t>
      </w:r>
      <w:r w:rsidR="00B52875">
        <w:lastRenderedPageBreak/>
        <w:t xml:space="preserve">wishes to call her son Yohanan, deviating from the custom of calling one’s child after the </w:t>
      </w:r>
      <w:r w:rsidR="008441E8">
        <w:t>father</w:t>
      </w:r>
      <w:r w:rsidR="00B52875">
        <w:t>. Zechariah</w:t>
      </w:r>
      <w:r w:rsidR="00D008CD">
        <w:t xml:space="preserve"> </w:t>
      </w:r>
      <w:r w:rsidR="00B52875">
        <w:t xml:space="preserve">approves this </w:t>
      </w:r>
      <w:r w:rsidR="004033CF">
        <w:t xml:space="preserve">exceptional </w:t>
      </w:r>
      <w:r w:rsidR="00B52875">
        <w:t>act</w:t>
      </w:r>
      <w:r w:rsidR="00924F2D">
        <w:t>.</w:t>
      </w:r>
      <w:r w:rsidR="00B52875">
        <w:t xml:space="preserve"> </w:t>
      </w:r>
      <w:r w:rsidR="00924F2D">
        <w:t>H</w:t>
      </w:r>
      <w:r w:rsidR="00D008CD">
        <w:t xml:space="preserve">is </w:t>
      </w:r>
      <w:r w:rsidR="00B621B6">
        <w:t xml:space="preserve">speech </w:t>
      </w:r>
      <w:r w:rsidR="001D46BD">
        <w:t xml:space="preserve">is then </w:t>
      </w:r>
      <w:r w:rsidR="00B621B6">
        <w:t>miraculously restored</w:t>
      </w:r>
      <w:r w:rsidR="00B52875">
        <w:t xml:space="preserve">. The </w:t>
      </w:r>
      <w:r w:rsidR="00B621B6">
        <w:t>redactor</w:t>
      </w:r>
      <w:r w:rsidR="00B52875">
        <w:t xml:space="preserve">(s) of </w:t>
      </w:r>
      <w:r w:rsidR="004102E9">
        <w:t xml:space="preserve">Q </w:t>
      </w:r>
      <w:r w:rsidR="00B52875">
        <w:t xml:space="preserve">19:1–63 </w:t>
      </w:r>
      <w:r w:rsidR="005F1EAE">
        <w:t xml:space="preserve">may have </w:t>
      </w:r>
      <w:r w:rsidR="00B621B6">
        <w:t xml:space="preserve">perceived </w:t>
      </w:r>
      <w:r w:rsidR="00B52875">
        <w:t xml:space="preserve">this </w:t>
      </w:r>
      <w:r w:rsidR="004033CF">
        <w:t xml:space="preserve">episode </w:t>
      </w:r>
      <w:r w:rsidR="00B52875">
        <w:t>as truly exceptional</w:t>
      </w:r>
      <w:r w:rsidR="00B621B6">
        <w:t>,</w:t>
      </w:r>
      <w:r w:rsidR="00B52875">
        <w:t xml:space="preserve"> </w:t>
      </w:r>
      <w:r w:rsidR="005F1EAE">
        <w:t>granting</w:t>
      </w:r>
      <w:r w:rsidR="00B621B6">
        <w:t>, accordingly,</w:t>
      </w:r>
      <w:r w:rsidR="005F1EAE">
        <w:t xml:space="preserve"> </w:t>
      </w:r>
      <w:r w:rsidR="00B621B6">
        <w:t xml:space="preserve">to John </w:t>
      </w:r>
      <w:r w:rsidR="004033CF">
        <w:t xml:space="preserve">a more unique name </w:t>
      </w:r>
      <w:r w:rsidR="00CA13B4">
        <w:t xml:space="preserve">for the </w:t>
      </w:r>
      <w:r w:rsidR="00B52875">
        <w:t xml:space="preserve">occasion, </w:t>
      </w:r>
      <w:r w:rsidR="00B52875">
        <w:rPr>
          <w:i/>
          <w:iCs/>
        </w:rPr>
        <w:t>Yahya</w:t>
      </w:r>
      <w:r w:rsidR="00CA13B4">
        <w:t xml:space="preserve"> rather than the common </w:t>
      </w:r>
      <w:r w:rsidR="00B52875">
        <w:rPr>
          <w:i/>
          <w:iCs/>
        </w:rPr>
        <w:t>Yohanan</w:t>
      </w:r>
      <w:r w:rsidR="00B52875">
        <w:t>.</w:t>
      </w:r>
      <w:r w:rsidR="00585610">
        <w:t xml:space="preserve"> </w:t>
      </w:r>
    </w:p>
    <w:p w14:paraId="3ED27BBB" w14:textId="77777777" w:rsidR="007651F6" w:rsidRDefault="007651F6" w:rsidP="00DB65C0">
      <w:pPr>
        <w:pStyle w:val="NoSpacing"/>
        <w:spacing w:line="480" w:lineRule="auto"/>
      </w:pPr>
    </w:p>
    <w:p w14:paraId="2BE19418" w14:textId="77777777" w:rsidR="007651F6" w:rsidRDefault="005C06D5" w:rsidP="00DB65C0">
      <w:pPr>
        <w:pStyle w:val="NoSpacing"/>
        <w:spacing w:line="480" w:lineRule="auto"/>
        <w:rPr>
          <w:b/>
          <w:bCs/>
        </w:rPr>
      </w:pPr>
      <w:r>
        <w:rPr>
          <w:b/>
          <w:bCs/>
        </w:rPr>
        <w:t xml:space="preserve">The </w:t>
      </w:r>
      <w:r w:rsidR="003F7F69">
        <w:rPr>
          <w:b/>
          <w:bCs/>
        </w:rPr>
        <w:t xml:space="preserve">Academic </w:t>
      </w:r>
      <w:r>
        <w:rPr>
          <w:b/>
          <w:bCs/>
        </w:rPr>
        <w:t xml:space="preserve">Instruction of </w:t>
      </w:r>
      <w:r w:rsidR="003D1562">
        <w:rPr>
          <w:b/>
          <w:bCs/>
        </w:rPr>
        <w:t>Early Islam</w:t>
      </w:r>
    </w:p>
    <w:p w14:paraId="07FB2A6C" w14:textId="77777777" w:rsidR="004C5FC3" w:rsidRPr="007651F6" w:rsidRDefault="004C5FC3" w:rsidP="00DB65C0">
      <w:pPr>
        <w:pStyle w:val="NoSpacing"/>
        <w:spacing w:line="480" w:lineRule="auto"/>
        <w:rPr>
          <w:b/>
          <w:bCs/>
        </w:rPr>
      </w:pPr>
      <w:r w:rsidRPr="007651F6">
        <w:rPr>
          <w:b/>
          <w:bCs/>
        </w:rPr>
        <w:t xml:space="preserve"> </w:t>
      </w:r>
    </w:p>
    <w:p w14:paraId="49973292" w14:textId="5D5A63D9" w:rsidR="00D16076" w:rsidRPr="00B84D14" w:rsidRDefault="003D1562" w:rsidP="00CB7563">
      <w:pPr>
        <w:spacing w:line="480" w:lineRule="auto"/>
        <w:ind w:firstLine="720"/>
        <w:jc w:val="both"/>
      </w:pPr>
      <w:r>
        <w:t xml:space="preserve">As noted, </w:t>
      </w:r>
      <w:r w:rsidR="00C800F3">
        <w:t xml:space="preserve">nothing in </w:t>
      </w:r>
      <w:r>
        <w:t>Dye</w:t>
      </w:r>
      <w:r w:rsidR="00C800F3">
        <w:t>’s historical-critical approach to the Qur</w:t>
      </w:r>
      <w:r w:rsidR="00C96173">
        <w:t>’</w:t>
      </w:r>
      <w:r w:rsidR="00C800F3">
        <w:t xml:space="preserve">an would strike </w:t>
      </w:r>
      <w:r w:rsidR="00091A31">
        <w:t xml:space="preserve">the </w:t>
      </w:r>
      <w:r w:rsidR="00C800F3">
        <w:t xml:space="preserve">biblical scholar </w:t>
      </w:r>
      <w:r w:rsidR="00091A31">
        <w:t xml:space="preserve">or specialist in early Judaism and Christianity </w:t>
      </w:r>
      <w:r w:rsidR="00C800F3">
        <w:t xml:space="preserve">as scandalous or preposterous. </w:t>
      </w:r>
      <w:r>
        <w:t xml:space="preserve"> </w:t>
      </w:r>
      <w:r w:rsidR="00091A31">
        <w:t xml:space="preserve">Indeed, adopting a historical-critical approach allows the scholar of religious studies to analyze early Islamic literature in the same way other religious writings are scrutinized. </w:t>
      </w:r>
      <w:r w:rsidR="000115E5">
        <w:t xml:space="preserve">It is, furthermore, customary </w:t>
      </w:r>
      <w:r w:rsidR="0050206D">
        <w:t xml:space="preserve">in </w:t>
      </w:r>
      <w:r w:rsidR="000115E5">
        <w:t xml:space="preserve">college courses </w:t>
      </w:r>
      <w:r w:rsidR="00CB7563">
        <w:t xml:space="preserve">on </w:t>
      </w:r>
      <w:r w:rsidR="000115E5">
        <w:t>the Hebrew Bible and the New Testament to be presented in a way that cultivates a critical appreciation for the historical contexts in which these texts emerged. For the Hebrew Bible</w:t>
      </w:r>
      <w:r w:rsidR="004102E9">
        <w:t>,</w:t>
      </w:r>
      <w:r w:rsidR="000115E5">
        <w:t xml:space="preserve"> this involves showing how its authors inevitably </w:t>
      </w:r>
      <w:r w:rsidR="002F7F99">
        <w:t>were shaped by and participated in Near Eastern culture</w:t>
      </w:r>
      <w:r w:rsidR="000115E5">
        <w:t xml:space="preserve">. </w:t>
      </w:r>
      <w:r w:rsidR="0050206D">
        <w:t>A</w:t>
      </w:r>
      <w:r w:rsidR="002F7F99">
        <w:t xml:space="preserve">ttention is given to sources embedded in the biblical </w:t>
      </w:r>
      <w:r w:rsidR="004102E9">
        <w:t>writings</w:t>
      </w:r>
      <w:r w:rsidR="002F7F99">
        <w:t xml:space="preserve">, their dates, authorship, and provenance. The same holds true for the New Testament, which is now intimately related to its Jewish matrix even as it </w:t>
      </w:r>
      <w:r w:rsidR="00585610">
        <w:t xml:space="preserve">is </w:t>
      </w:r>
      <w:r w:rsidR="002F7F99">
        <w:t xml:space="preserve">understood within a </w:t>
      </w:r>
      <w:r w:rsidR="004102E9">
        <w:t xml:space="preserve">broader </w:t>
      </w:r>
      <w:r w:rsidR="002F7F99">
        <w:t xml:space="preserve">Greco-Roman context. </w:t>
      </w:r>
      <w:r w:rsidR="006B497C">
        <w:t>T</w:t>
      </w:r>
      <w:r w:rsidR="007651F6">
        <w:t xml:space="preserve">extbooks and </w:t>
      </w:r>
      <w:r w:rsidR="006B497C">
        <w:t xml:space="preserve">other resources that introduce </w:t>
      </w:r>
      <w:r w:rsidR="00585610">
        <w:t xml:space="preserve">beginning </w:t>
      </w:r>
      <w:r w:rsidR="006B497C">
        <w:t xml:space="preserve">students to historical-critical issues related to the Pentateuch, the historical Jesus, Paul’s letters, </w:t>
      </w:r>
      <w:r w:rsidR="0050206D">
        <w:t xml:space="preserve">or </w:t>
      </w:r>
      <w:r w:rsidR="006B497C">
        <w:t xml:space="preserve">the </w:t>
      </w:r>
      <w:r w:rsidR="0050206D">
        <w:t xml:space="preserve">gospels </w:t>
      </w:r>
      <w:r w:rsidR="005C06D5">
        <w:t xml:space="preserve">abound </w:t>
      </w:r>
      <w:r w:rsidR="009E1B50">
        <w:t>in number</w:t>
      </w:r>
      <w:r w:rsidR="006B497C">
        <w:t xml:space="preserve">. </w:t>
      </w:r>
      <w:r w:rsidR="0050206D">
        <w:t>On the other hand, f</w:t>
      </w:r>
      <w:r w:rsidR="00B84D14">
        <w:t xml:space="preserve">inding </w:t>
      </w:r>
      <w:r w:rsidR="0050206D">
        <w:t xml:space="preserve">introductory </w:t>
      </w:r>
      <w:r w:rsidR="00B84D14">
        <w:t>t</w:t>
      </w:r>
      <w:r w:rsidR="009E1B50">
        <w:t>extbook</w:t>
      </w:r>
      <w:r w:rsidR="00B84D14">
        <w:t>s</w:t>
      </w:r>
      <w:r w:rsidR="009E1B50">
        <w:t xml:space="preserve"> </w:t>
      </w:r>
      <w:r w:rsidR="0050206D">
        <w:t xml:space="preserve">or </w:t>
      </w:r>
      <w:r w:rsidR="00083809">
        <w:t>translation</w:t>
      </w:r>
      <w:r w:rsidR="00B84D14">
        <w:t>s</w:t>
      </w:r>
      <w:r w:rsidR="00083809">
        <w:t xml:space="preserve"> of the Qur</w:t>
      </w:r>
      <w:r w:rsidR="004102E9">
        <w:t>’</w:t>
      </w:r>
      <w:r w:rsidR="00083809">
        <w:t xml:space="preserve">an </w:t>
      </w:r>
      <w:r w:rsidR="009E1B50">
        <w:t xml:space="preserve">that </w:t>
      </w:r>
      <w:r w:rsidR="009D4438">
        <w:t xml:space="preserve">adequately </w:t>
      </w:r>
      <w:r w:rsidR="009E1B50">
        <w:t xml:space="preserve">discuss issues related to </w:t>
      </w:r>
      <w:r w:rsidR="004102E9">
        <w:t xml:space="preserve">its </w:t>
      </w:r>
      <w:r w:rsidR="009E1B50">
        <w:t>formation</w:t>
      </w:r>
      <w:r w:rsidR="00B84D14">
        <w:t>, the “historical Muhammad,”</w:t>
      </w:r>
      <w:r w:rsidR="009D4438">
        <w:t xml:space="preserve"> </w:t>
      </w:r>
      <w:r w:rsidR="00BD475F">
        <w:t xml:space="preserve">or </w:t>
      </w:r>
      <w:r w:rsidR="009D4438">
        <w:t xml:space="preserve">nascent Islam </w:t>
      </w:r>
      <w:r w:rsidR="004102E9">
        <w:t xml:space="preserve">proves </w:t>
      </w:r>
      <w:r w:rsidR="00083809">
        <w:t>more challenging</w:t>
      </w:r>
      <w:r w:rsidR="009D4438">
        <w:t xml:space="preserve">. </w:t>
      </w:r>
      <w:r w:rsidR="00D16076">
        <w:t xml:space="preserve"> </w:t>
      </w:r>
      <w:r w:rsidR="00CC1038">
        <w:t>As a point of illustration</w:t>
      </w:r>
      <w:r w:rsidR="00B84D14">
        <w:t xml:space="preserve">, </w:t>
      </w:r>
      <w:r w:rsidR="00CC1038">
        <w:t xml:space="preserve">I note that </w:t>
      </w:r>
      <w:r w:rsidR="00B84D14">
        <w:t xml:space="preserve">Oxford University </w:t>
      </w:r>
      <w:r w:rsidR="00B84D14">
        <w:lastRenderedPageBreak/>
        <w:t xml:space="preserve">Press does not </w:t>
      </w:r>
      <w:r w:rsidR="00A30DBA">
        <w:t xml:space="preserve">possess </w:t>
      </w:r>
      <w:r w:rsidR="00B84D14">
        <w:t xml:space="preserve">any introductory work </w:t>
      </w:r>
      <w:r w:rsidR="00CC1038">
        <w:t xml:space="preserve">on early Islam </w:t>
      </w:r>
      <w:r w:rsidR="00C91DE5">
        <w:t xml:space="preserve">or translation </w:t>
      </w:r>
      <w:r w:rsidR="00B84D14">
        <w:t>o</w:t>
      </w:r>
      <w:r w:rsidR="00CC1038">
        <w:t>f</w:t>
      </w:r>
      <w:r w:rsidR="00B84D14">
        <w:t xml:space="preserve"> the Qur</w:t>
      </w:r>
      <w:r w:rsidR="00C96173">
        <w:t>’</w:t>
      </w:r>
      <w:r w:rsidR="00B84D14">
        <w:t xml:space="preserve">an equivalent to their </w:t>
      </w:r>
      <w:r w:rsidR="00B84D14">
        <w:rPr>
          <w:i/>
          <w:iCs/>
        </w:rPr>
        <w:t>The New Testament: A Historical Introduction to the Early Christian Writings</w:t>
      </w:r>
      <w:r w:rsidR="00C91DE5">
        <w:t>,</w:t>
      </w:r>
      <w:r w:rsidR="00585610">
        <w:t xml:space="preserve"> by Bart Ehrman, </w:t>
      </w:r>
      <w:r w:rsidR="00A14CF2">
        <w:rPr>
          <w:i/>
          <w:iCs/>
        </w:rPr>
        <w:t xml:space="preserve">The </w:t>
      </w:r>
      <w:r w:rsidR="00B84D14">
        <w:rPr>
          <w:i/>
          <w:iCs/>
        </w:rPr>
        <w:t>Old Testament: Historical and Literary Introduction to the Hebrew Scriptures</w:t>
      </w:r>
      <w:r w:rsidR="00B84D14">
        <w:t xml:space="preserve">, </w:t>
      </w:r>
      <w:r w:rsidR="00585610">
        <w:t xml:space="preserve">by Michael D. Coogan, </w:t>
      </w:r>
      <w:r w:rsidR="00C91DE5">
        <w:t xml:space="preserve">or </w:t>
      </w:r>
      <w:r w:rsidR="00C91DE5">
        <w:rPr>
          <w:i/>
          <w:iCs/>
        </w:rPr>
        <w:t>The New Oxford Annotated Bible with Apocrypha</w:t>
      </w:r>
      <w:r w:rsidR="00B84D14">
        <w:t xml:space="preserve">. </w:t>
      </w:r>
    </w:p>
    <w:p w14:paraId="487BF3DD" w14:textId="1AAB2AB1" w:rsidR="00744859" w:rsidRDefault="003A4CE1" w:rsidP="00BD475F">
      <w:pPr>
        <w:spacing w:line="480" w:lineRule="auto"/>
        <w:ind w:firstLine="720"/>
        <w:jc w:val="both"/>
      </w:pPr>
      <w:r>
        <w:t xml:space="preserve">Instead, </w:t>
      </w:r>
      <w:r w:rsidR="003252DD">
        <w:t xml:space="preserve">one </w:t>
      </w:r>
      <w:r w:rsidR="00143A82">
        <w:t>encounter</w:t>
      </w:r>
      <w:r w:rsidR="003252DD">
        <w:t>s</w:t>
      </w:r>
      <w:r w:rsidR="00143A82">
        <w:t xml:space="preserve"> </w:t>
      </w:r>
      <w:r w:rsidR="0050206D">
        <w:t xml:space="preserve">several </w:t>
      </w:r>
      <w:r w:rsidR="00143A82">
        <w:t xml:space="preserve">publications of a non-critical </w:t>
      </w:r>
      <w:r w:rsidR="0050206D">
        <w:t xml:space="preserve">tenor, written by Muslim </w:t>
      </w:r>
      <w:r w:rsidR="00143A82">
        <w:t>and non</w:t>
      </w:r>
      <w:r w:rsidR="0050206D">
        <w:t xml:space="preserve">-Muslim thinkers </w:t>
      </w:r>
      <w:r w:rsidR="00143A82">
        <w:t xml:space="preserve">alike, which </w:t>
      </w:r>
      <w:r w:rsidR="0050206D">
        <w:t xml:space="preserve">for the most part </w:t>
      </w:r>
      <w:r w:rsidR="00143A82">
        <w:t xml:space="preserve">rehearse </w:t>
      </w:r>
      <w:r w:rsidR="00BD475F">
        <w:t xml:space="preserve">traditional </w:t>
      </w:r>
      <w:r w:rsidR="00B8596E">
        <w:t xml:space="preserve">claims </w:t>
      </w:r>
      <w:r w:rsidR="0050206D">
        <w:t xml:space="preserve">concerning </w:t>
      </w:r>
      <w:r w:rsidR="00BD475F">
        <w:t xml:space="preserve">Islamic </w:t>
      </w:r>
      <w:r w:rsidR="00143A82">
        <w:t xml:space="preserve">origins. </w:t>
      </w:r>
      <w:r w:rsidR="000E26D7">
        <w:t>Karen Armstrong</w:t>
      </w:r>
      <w:r w:rsidR="00B8596E">
        <w:t xml:space="preserve">’s best-selling books </w:t>
      </w:r>
      <w:r w:rsidR="000B18E7">
        <w:t xml:space="preserve">have been </w:t>
      </w:r>
      <w:r w:rsidR="005B0260">
        <w:t xml:space="preserve">used </w:t>
      </w:r>
      <w:r w:rsidR="000B18E7">
        <w:t>in confessional and secular settings</w:t>
      </w:r>
      <w:r w:rsidR="005B0260">
        <w:t xml:space="preserve"> alike</w:t>
      </w:r>
      <w:r w:rsidR="000F5B0D">
        <w:t xml:space="preserve">. </w:t>
      </w:r>
      <w:r w:rsidR="000B18E7">
        <w:t>Her</w:t>
      </w:r>
      <w:r w:rsidR="00585610">
        <w:t xml:space="preserve"> volume,</w:t>
      </w:r>
      <w:r w:rsidR="000B18E7">
        <w:t xml:space="preserve"> </w:t>
      </w:r>
      <w:r w:rsidR="000E26D7">
        <w:rPr>
          <w:i/>
          <w:iCs/>
        </w:rPr>
        <w:t xml:space="preserve">Muhammad: A Prophet for Our Time </w:t>
      </w:r>
      <w:r>
        <w:t xml:space="preserve">was one of the required readings for a world religions </w:t>
      </w:r>
      <w:r w:rsidR="00585610">
        <w:t>course a close acquaintance</w:t>
      </w:r>
      <w:r w:rsidR="00BD475F">
        <w:t xml:space="preserve"> </w:t>
      </w:r>
      <w:r w:rsidR="000B18E7">
        <w:t xml:space="preserve">took </w:t>
      </w:r>
      <w:r>
        <w:t xml:space="preserve">at </w:t>
      </w:r>
      <w:r w:rsidR="000B18E7">
        <w:t xml:space="preserve">a </w:t>
      </w:r>
      <w:r>
        <w:t>large public American university</w:t>
      </w:r>
      <w:r w:rsidR="000E26D7">
        <w:t>.</w:t>
      </w:r>
      <w:r w:rsidR="007B259A">
        <w:rPr>
          <w:rStyle w:val="FootnoteReference"/>
        </w:rPr>
        <w:footnoteReference w:id="16"/>
      </w:r>
      <w:r w:rsidR="000E26D7">
        <w:t xml:space="preserve">  It is also </w:t>
      </w:r>
      <w:r w:rsidR="0050206D">
        <w:t>recommended</w:t>
      </w:r>
      <w:r w:rsidR="00AC08C9">
        <w:t xml:space="preserve"> in various publications, even ones written by scholars,</w:t>
      </w:r>
      <w:r w:rsidR="0050206D">
        <w:t xml:space="preserve"> </w:t>
      </w:r>
      <w:r>
        <w:t xml:space="preserve">for those interested in </w:t>
      </w:r>
      <w:r w:rsidR="00BD475F">
        <w:t xml:space="preserve">learning more about </w:t>
      </w:r>
      <w:r>
        <w:t>Muhammad’s life.</w:t>
      </w:r>
      <w:r w:rsidR="000E26D7">
        <w:rPr>
          <w:rStyle w:val="FootnoteReference"/>
        </w:rPr>
        <w:footnoteReference w:id="17"/>
      </w:r>
      <w:r w:rsidR="000E26D7">
        <w:t xml:space="preserve"> As the title of her book suggests, Armstrong aims to defend Islam </w:t>
      </w:r>
      <w:r w:rsidR="00B46A36">
        <w:t xml:space="preserve">by combating </w:t>
      </w:r>
      <w:r w:rsidR="000E26D7">
        <w:t xml:space="preserve">negative characterizations of Muhammad. As someone devoted to promoting better Jewish-Christian-Muslim understanding, I certainly sympathize with Armstrong’s ecumenical aspirations. </w:t>
      </w:r>
      <w:r w:rsidR="00AC08C9">
        <w:t xml:space="preserve">The </w:t>
      </w:r>
      <w:r w:rsidR="005B0260">
        <w:t>historian</w:t>
      </w:r>
      <w:r w:rsidR="00E90B6F">
        <w:t>, however,</w:t>
      </w:r>
      <w:r w:rsidR="005B0260">
        <w:t xml:space="preserve"> </w:t>
      </w:r>
      <w:r w:rsidR="00AC08C9">
        <w:t xml:space="preserve">will quickly </w:t>
      </w:r>
      <w:r w:rsidR="005B0260">
        <w:t xml:space="preserve">note that </w:t>
      </w:r>
      <w:r w:rsidR="003A0F1D">
        <w:t>t</w:t>
      </w:r>
      <w:r w:rsidR="00B46A36">
        <w:t xml:space="preserve">he book </w:t>
      </w:r>
      <w:r w:rsidR="00E90B6F">
        <w:t>contains no</w:t>
      </w:r>
      <w:r w:rsidR="005B0260">
        <w:t xml:space="preserve"> </w:t>
      </w:r>
      <w:r w:rsidR="00E90B6F">
        <w:t>explanation o</w:t>
      </w:r>
      <w:r w:rsidR="00227F9C">
        <w:t>f</w:t>
      </w:r>
      <w:r w:rsidR="00E90B6F">
        <w:t xml:space="preserve"> </w:t>
      </w:r>
      <w:r w:rsidR="005B0260">
        <w:t xml:space="preserve">methodology or justification for </w:t>
      </w:r>
      <w:r w:rsidR="00BD475F">
        <w:t xml:space="preserve">the </w:t>
      </w:r>
      <w:r w:rsidR="005B0260">
        <w:t xml:space="preserve">selective usage of materials from primary sources </w:t>
      </w:r>
      <w:r w:rsidR="000E26D7" w:rsidRPr="005B0260">
        <w:t>for</w:t>
      </w:r>
      <w:r w:rsidR="000E26D7">
        <w:t xml:space="preserve"> reconstructing Muhammad’s life. </w:t>
      </w:r>
      <w:r w:rsidR="005B0260">
        <w:t xml:space="preserve">Armstrong simply </w:t>
      </w:r>
      <w:r w:rsidR="00BD475F">
        <w:t xml:space="preserve">contends </w:t>
      </w:r>
      <w:r w:rsidR="003A0F1D">
        <w:t>that “we know more about Muhammad than about nearly any other founder of a major religious tradition</w:t>
      </w:r>
      <w:r w:rsidR="005A2D7F">
        <w:t>.</w:t>
      </w:r>
      <w:r w:rsidR="003A0F1D">
        <w:t>”</w:t>
      </w:r>
      <w:r w:rsidR="005A2D7F">
        <w:rPr>
          <w:rStyle w:val="FootnoteReference"/>
        </w:rPr>
        <w:footnoteReference w:id="18"/>
      </w:r>
      <w:r w:rsidR="003A0F1D">
        <w:t xml:space="preserve"> </w:t>
      </w:r>
      <w:r w:rsidR="00BD475F">
        <w:t>But t</w:t>
      </w:r>
      <w:r w:rsidR="005B0260">
        <w:t>o</w:t>
      </w:r>
      <w:r w:rsidR="003A0F1D">
        <w:t xml:space="preserve"> make such a wide-sweeping statement, </w:t>
      </w:r>
      <w:r w:rsidR="005B0260">
        <w:t xml:space="preserve">one must overlook </w:t>
      </w:r>
      <w:r w:rsidR="003A0F1D">
        <w:t xml:space="preserve">the </w:t>
      </w:r>
      <w:r w:rsidR="00DD75AF">
        <w:t xml:space="preserve">late date of the relevant sources on </w:t>
      </w:r>
      <w:r w:rsidR="003A0F1D">
        <w:t>Muhammad</w:t>
      </w:r>
      <w:r w:rsidR="00DD75AF">
        <w:t xml:space="preserve"> (</w:t>
      </w:r>
      <w:proofErr w:type="spellStart"/>
      <w:r w:rsidR="00DD75AF">
        <w:t>siras</w:t>
      </w:r>
      <w:proofErr w:type="spellEnd"/>
      <w:r w:rsidR="00DD75AF">
        <w:t>, hadiths)</w:t>
      </w:r>
      <w:r w:rsidR="003A0F1D">
        <w:t xml:space="preserve">, </w:t>
      </w:r>
      <w:r w:rsidR="00E90B6F">
        <w:t xml:space="preserve">not to mention the </w:t>
      </w:r>
      <w:r w:rsidR="003A0F1D">
        <w:t xml:space="preserve">penchant for the miraculous </w:t>
      </w:r>
      <w:r w:rsidR="00E90B6F">
        <w:t>in some of the materials and</w:t>
      </w:r>
      <w:r w:rsidR="005A2D7F">
        <w:t>,</w:t>
      </w:r>
      <w:r w:rsidR="00E90B6F">
        <w:t xml:space="preserve"> more generally</w:t>
      </w:r>
      <w:r w:rsidR="005A2D7F">
        <w:t xml:space="preserve">, </w:t>
      </w:r>
      <w:r w:rsidR="00BD475F">
        <w:t xml:space="preserve">the </w:t>
      </w:r>
      <w:r w:rsidR="005A2D7F">
        <w:t>rhetorical discursive strategies</w:t>
      </w:r>
      <w:r w:rsidR="00E90B6F">
        <w:t xml:space="preserve"> </w:t>
      </w:r>
      <w:r w:rsidR="00BD475F">
        <w:t xml:space="preserve">adopted by </w:t>
      </w:r>
      <w:r w:rsidR="00BD475F">
        <w:lastRenderedPageBreak/>
        <w:t xml:space="preserve">religious texts </w:t>
      </w:r>
      <w:r w:rsidR="00E90B6F">
        <w:t xml:space="preserve">to </w:t>
      </w:r>
      <w:r w:rsidR="00DD75AF">
        <w:t xml:space="preserve">further theological and political </w:t>
      </w:r>
      <w:r w:rsidR="00E90B6F">
        <w:t>aims</w:t>
      </w:r>
      <w:r w:rsidR="0021691D">
        <w:t xml:space="preserve">. </w:t>
      </w:r>
      <w:r w:rsidR="003A0F1D">
        <w:t xml:space="preserve"> </w:t>
      </w:r>
      <w:r w:rsidR="00E90B6F">
        <w:t xml:space="preserve">But </w:t>
      </w:r>
      <w:r w:rsidR="00BB7615">
        <w:t xml:space="preserve">Armstrong </w:t>
      </w:r>
      <w:r w:rsidR="00AC08C9">
        <w:t>has another primary source at her disposal</w:t>
      </w:r>
      <w:r w:rsidR="00E90B6F">
        <w:t>:</w:t>
      </w:r>
      <w:r w:rsidR="00BB7615">
        <w:t xml:space="preserve"> “For some twenty-three years, from about 610 to his death in 632, Muhammad claimed that he was the recipient of direct messages from God, which were collected into the tex</w:t>
      </w:r>
      <w:r w:rsidR="007F1F29">
        <w:t>t that becam</w:t>
      </w:r>
      <w:r w:rsidR="00BB7615">
        <w:t>e known as the Qur’an. It does not contain a straightforward account of Muhammad’s life, of course, but came to the Prophet piecemeal, line by line, verse by verse, chapter by chapter. Sometimes the revelations dealt with a particular situation in Mecca or Medina</w:t>
      </w:r>
      <w:r w:rsidR="005A2D7F">
        <w:t>.</w:t>
      </w:r>
      <w:r w:rsidR="00BB7615">
        <w:t>”</w:t>
      </w:r>
      <w:r w:rsidR="005A2D7F">
        <w:rPr>
          <w:rStyle w:val="FootnoteReference"/>
        </w:rPr>
        <w:footnoteReference w:id="19"/>
      </w:r>
      <w:r w:rsidR="00BB7615">
        <w:t xml:space="preserve"> </w:t>
      </w:r>
      <w:r w:rsidR="00DD75AF">
        <w:t>T</w:t>
      </w:r>
      <w:r w:rsidR="007F1F29">
        <w:t>he Qur</w:t>
      </w:r>
      <w:r w:rsidR="00C96173">
        <w:t>’</w:t>
      </w:r>
      <w:r w:rsidR="007F1F29">
        <w:t>an</w:t>
      </w:r>
      <w:r w:rsidR="00DD75AF">
        <w:t xml:space="preserve">, however, </w:t>
      </w:r>
      <w:r w:rsidR="007F1F29">
        <w:t>make</w:t>
      </w:r>
      <w:r w:rsidR="00DD75AF">
        <w:t>s</w:t>
      </w:r>
      <w:r w:rsidR="007F1F29">
        <w:t xml:space="preserve"> </w:t>
      </w:r>
      <w:r w:rsidR="00DD75AF">
        <w:t xml:space="preserve">no such </w:t>
      </w:r>
      <w:r w:rsidR="007F1F29">
        <w:t>claims</w:t>
      </w:r>
      <w:r w:rsidR="00AC08C9">
        <w:t xml:space="preserve"> about the progression of Muhammad’s career</w:t>
      </w:r>
      <w:r w:rsidR="007F1F29">
        <w:t xml:space="preserve">. </w:t>
      </w:r>
      <w:r w:rsidR="00DD75AF">
        <w:t xml:space="preserve">Armstrong simply reiterates </w:t>
      </w:r>
      <w:r w:rsidR="005A2D7F">
        <w:t>tradition</w:t>
      </w:r>
      <w:r w:rsidR="007F1F29">
        <w:t xml:space="preserve">. </w:t>
      </w:r>
      <w:r w:rsidR="00F44266">
        <w:t>Th</w:t>
      </w:r>
      <w:r w:rsidR="00AC08C9">
        <w:t>e</w:t>
      </w:r>
      <w:r w:rsidR="00F44266">
        <w:t xml:space="preserve"> </w:t>
      </w:r>
      <w:r w:rsidR="007F1F29">
        <w:t xml:space="preserve">selective use of </w:t>
      </w:r>
      <w:r w:rsidR="00D1242B">
        <w:t>tradition</w:t>
      </w:r>
      <w:r w:rsidR="007F1F29">
        <w:t xml:space="preserve"> allows </w:t>
      </w:r>
      <w:r w:rsidR="00F44266">
        <w:t xml:space="preserve">her </w:t>
      </w:r>
      <w:r w:rsidR="007F1F29">
        <w:t xml:space="preserve">to </w:t>
      </w:r>
      <w:r w:rsidR="00D1242B">
        <w:t xml:space="preserve">pursue </w:t>
      </w:r>
      <w:r w:rsidR="00F44266">
        <w:t xml:space="preserve">her </w:t>
      </w:r>
      <w:r w:rsidR="00D1242B">
        <w:t>ecumenical agenda, which is confused with historical analysis</w:t>
      </w:r>
      <w:r w:rsidR="000E26D7">
        <w:t xml:space="preserve">. </w:t>
      </w:r>
      <w:r w:rsidR="00F44266">
        <w:t xml:space="preserve">The </w:t>
      </w:r>
      <w:r w:rsidR="007F1F29">
        <w:t xml:space="preserve">historicity of reports </w:t>
      </w:r>
      <w:r w:rsidR="00AC08C9">
        <w:t xml:space="preserve">culled </w:t>
      </w:r>
      <w:r w:rsidR="00D1242B">
        <w:t xml:space="preserve">from </w:t>
      </w:r>
      <w:r w:rsidR="007F1F29">
        <w:t xml:space="preserve">Ibn </w:t>
      </w:r>
      <w:proofErr w:type="spellStart"/>
      <w:r w:rsidR="007F1F29">
        <w:t>Ishaq</w:t>
      </w:r>
      <w:proofErr w:type="spellEnd"/>
      <w:r w:rsidR="007F1F29">
        <w:t xml:space="preserve"> </w:t>
      </w:r>
      <w:r w:rsidR="00F44266">
        <w:t xml:space="preserve">or </w:t>
      </w:r>
      <w:r w:rsidR="007F1F29">
        <w:t>Buk</w:t>
      </w:r>
      <w:r w:rsidR="00AC08C9">
        <w:t>h</w:t>
      </w:r>
      <w:r w:rsidR="007F1F29">
        <w:t>ari</w:t>
      </w:r>
      <w:r w:rsidR="00F44266">
        <w:t xml:space="preserve"> </w:t>
      </w:r>
      <w:r w:rsidR="00AC08C9">
        <w:t xml:space="preserve">are </w:t>
      </w:r>
      <w:r w:rsidR="00F44266">
        <w:t>assumed rather than demonstrated</w:t>
      </w:r>
      <w:r w:rsidR="00AF3421">
        <w:t xml:space="preserve">, </w:t>
      </w:r>
      <w:r w:rsidR="00F44266">
        <w:t xml:space="preserve">while </w:t>
      </w:r>
      <w:r w:rsidR="00AF3421">
        <w:t xml:space="preserve">unpleasant </w:t>
      </w:r>
      <w:r w:rsidR="00D1242B">
        <w:t xml:space="preserve">materials </w:t>
      </w:r>
      <w:r w:rsidR="00AF3421">
        <w:t xml:space="preserve">that might seem offensive to a </w:t>
      </w:r>
      <w:r w:rsidR="00AC08C9">
        <w:t>W</w:t>
      </w:r>
      <w:r w:rsidR="00AF3421">
        <w:t>estern audience</w:t>
      </w:r>
      <w:r w:rsidR="00F44266">
        <w:t xml:space="preserve"> are simply left out</w:t>
      </w:r>
      <w:r w:rsidR="00D1242B">
        <w:t xml:space="preserve">. </w:t>
      </w:r>
      <w:r w:rsidR="007F1F29">
        <w:t xml:space="preserve">Armstrong’s </w:t>
      </w:r>
      <w:r w:rsidR="00AF3421">
        <w:t>Muhammad is certainly a prophet for our time but is he a messenger of his time?</w:t>
      </w:r>
      <w:r w:rsidR="000E26D7">
        <w:t xml:space="preserve"> </w:t>
      </w:r>
    </w:p>
    <w:p w14:paraId="5647438B" w14:textId="1DF47302" w:rsidR="000E26D7" w:rsidRDefault="00744859" w:rsidP="00CB7563">
      <w:pPr>
        <w:spacing w:line="480" w:lineRule="auto"/>
        <w:ind w:firstLine="720"/>
        <w:jc w:val="both"/>
      </w:pPr>
      <w:r>
        <w:t xml:space="preserve">By contrast, when Armstrong deals with the New Testament, she has no qualms adopting historical-critical positions when this proves congenial to her enterprise. For example, she questions the historical reliability of the depictions of the Pharisees in the canonical gospels, sharply distinguishing the historical Jesus’ </w:t>
      </w:r>
      <w:r w:rsidR="00FB7088">
        <w:t xml:space="preserve">disposition </w:t>
      </w:r>
      <w:r>
        <w:t xml:space="preserve">toward the Pharisees from </w:t>
      </w:r>
      <w:r w:rsidR="00FB7088">
        <w:t xml:space="preserve">that of </w:t>
      </w:r>
      <w:r>
        <w:t xml:space="preserve">the gospel writers who lived after Jesus’ time. </w:t>
      </w:r>
      <w:r w:rsidR="00481BC8">
        <w:t>The stories related in the gospels, in other words, often tell us more about the emergence of Christianity than the historical Jesus.</w:t>
      </w:r>
      <w:r>
        <w:rPr>
          <w:rStyle w:val="FootnoteReference"/>
        </w:rPr>
        <w:footnoteReference w:id="20"/>
      </w:r>
      <w:r w:rsidR="00481BC8">
        <w:t xml:space="preserve"> </w:t>
      </w:r>
      <w:r w:rsidR="000E26D7">
        <w:t>Why not make similar distinctions between the historical Muhammad, the Qur</w:t>
      </w:r>
      <w:r w:rsidR="00C96173">
        <w:t>’</w:t>
      </w:r>
      <w:r w:rsidR="000E26D7">
        <w:t xml:space="preserve">an, </w:t>
      </w:r>
      <w:r w:rsidR="006F20A4">
        <w:t xml:space="preserve">and </w:t>
      </w:r>
      <w:r w:rsidR="000E26D7">
        <w:t xml:space="preserve">the </w:t>
      </w:r>
      <w:r w:rsidR="00AC08C9">
        <w:t xml:space="preserve">traditional biographies </w:t>
      </w:r>
      <w:r>
        <w:t xml:space="preserve">and </w:t>
      </w:r>
      <w:r w:rsidR="000E26D7">
        <w:t>hadith</w:t>
      </w:r>
      <w:r w:rsidR="00D861D6">
        <w:t>s</w:t>
      </w:r>
      <w:r w:rsidR="000E26D7">
        <w:t>?</w:t>
      </w:r>
      <w:r w:rsidR="00D861D6">
        <w:t xml:space="preserve"> Has not form criticism </w:t>
      </w:r>
      <w:r w:rsidR="00FB7088">
        <w:t xml:space="preserve">cautioned </w:t>
      </w:r>
      <w:r w:rsidR="00D861D6">
        <w:t xml:space="preserve">biblical and even rabbinic studies </w:t>
      </w:r>
      <w:r w:rsidR="00FB7088">
        <w:t xml:space="preserve">against confidently peeling </w:t>
      </w:r>
      <w:r w:rsidR="006F20A4">
        <w:t xml:space="preserve">traditional </w:t>
      </w:r>
      <w:r w:rsidR="00FB7088">
        <w:t xml:space="preserve">layers </w:t>
      </w:r>
      <w:r w:rsidR="006F20A4">
        <w:t xml:space="preserve">in search </w:t>
      </w:r>
      <w:r w:rsidR="00FB7088">
        <w:t xml:space="preserve">of </w:t>
      </w:r>
      <w:r w:rsidR="00D861D6">
        <w:t>historical kernel</w:t>
      </w:r>
      <w:r w:rsidR="006F20A4">
        <w:t>s</w:t>
      </w:r>
      <w:r w:rsidR="00FB7088">
        <w:t>,</w:t>
      </w:r>
      <w:r w:rsidR="00D861D6">
        <w:t xml:space="preserve"> </w:t>
      </w:r>
      <w:r w:rsidR="00FB7088">
        <w:t xml:space="preserve">encouraging </w:t>
      </w:r>
      <w:r w:rsidR="006F20A4">
        <w:t xml:space="preserve">rather </w:t>
      </w:r>
      <w:r w:rsidR="00FB7088">
        <w:lastRenderedPageBreak/>
        <w:t xml:space="preserve">the appreciation of </w:t>
      </w:r>
      <w:r w:rsidR="00D861D6">
        <w:t xml:space="preserve">the function (theological, </w:t>
      </w:r>
      <w:r w:rsidR="00F44266">
        <w:t xml:space="preserve">political, </w:t>
      </w:r>
      <w:r w:rsidR="00D861D6">
        <w:t xml:space="preserve">social, etc.) </w:t>
      </w:r>
      <w:r w:rsidR="00FB7088">
        <w:t xml:space="preserve">of a particular form </w:t>
      </w:r>
      <w:r w:rsidR="006F20A4">
        <w:t xml:space="preserve">in </w:t>
      </w:r>
      <w:r w:rsidR="00FB7088">
        <w:t xml:space="preserve">its </w:t>
      </w:r>
      <w:r w:rsidR="006F20A4">
        <w:t xml:space="preserve">original </w:t>
      </w:r>
      <w:r w:rsidR="00D861D6" w:rsidRPr="00D861D6">
        <w:rPr>
          <w:i/>
          <w:iCs/>
        </w:rPr>
        <w:t>Sitz im Leben</w:t>
      </w:r>
      <w:r w:rsidR="00D861D6">
        <w:t xml:space="preserve">? </w:t>
      </w:r>
      <w:r w:rsidR="006F20A4">
        <w:t>R</w:t>
      </w:r>
      <w:r w:rsidR="0031467B">
        <w:t>eliance</w:t>
      </w:r>
      <w:r w:rsidR="00555A53">
        <w:t xml:space="preserve"> on </w:t>
      </w:r>
      <w:r w:rsidR="0031467B">
        <w:t xml:space="preserve">tradition for historical reconstruction proves </w:t>
      </w:r>
      <w:r w:rsidR="00555A53">
        <w:t xml:space="preserve">problematic </w:t>
      </w:r>
      <w:r w:rsidR="006F20A4">
        <w:t xml:space="preserve">not only </w:t>
      </w:r>
      <w:r w:rsidR="00555A53">
        <w:t xml:space="preserve">because of dating </w:t>
      </w:r>
      <w:r w:rsidR="00FB7088">
        <w:t xml:space="preserve">or </w:t>
      </w:r>
      <w:r w:rsidR="00555A53">
        <w:t>legendary</w:t>
      </w:r>
      <w:r w:rsidR="0031467B">
        <w:t xml:space="preserve"> accretion</w:t>
      </w:r>
      <w:r w:rsidR="006F20A4">
        <w:t>s</w:t>
      </w:r>
      <w:r>
        <w:t xml:space="preserve">. </w:t>
      </w:r>
      <w:r w:rsidR="0031467B">
        <w:t>T</w:t>
      </w:r>
      <w:r>
        <w:t xml:space="preserve">he </w:t>
      </w:r>
      <w:r w:rsidR="006F20A4">
        <w:t xml:space="preserve">very </w:t>
      </w:r>
      <w:r w:rsidR="00D861D6" w:rsidRPr="00744859">
        <w:t>form</w:t>
      </w:r>
      <w:r>
        <w:rPr>
          <w:i/>
          <w:iCs/>
        </w:rPr>
        <w:t xml:space="preserve"> </w:t>
      </w:r>
      <w:r w:rsidR="00FB7088">
        <w:t>of many traditional materials</w:t>
      </w:r>
      <w:r w:rsidR="0031467B">
        <w:t>,</w:t>
      </w:r>
      <w:r w:rsidR="00F44266">
        <w:t xml:space="preserve"> </w:t>
      </w:r>
      <w:r w:rsidR="006F20A4">
        <w:t xml:space="preserve">which were designed to </w:t>
      </w:r>
      <w:r w:rsidR="00FB7088">
        <w:t>serve the</w:t>
      </w:r>
      <w:r w:rsidR="00585610">
        <w:t xml:space="preserve"> ideological</w:t>
      </w:r>
      <w:r w:rsidR="006F20A4">
        <w:t xml:space="preserve"> </w:t>
      </w:r>
      <w:r w:rsidR="00FB7088">
        <w:t>needs of the communities they targeted</w:t>
      </w:r>
      <w:r w:rsidR="0031467B">
        <w:t xml:space="preserve">, </w:t>
      </w:r>
      <w:r w:rsidR="006F20A4">
        <w:t>presents at times insurmountable</w:t>
      </w:r>
      <w:r w:rsidR="0031467B">
        <w:t xml:space="preserve"> tasks for historical reconstruction</w:t>
      </w:r>
      <w:r w:rsidR="00481BC8">
        <w:t xml:space="preserve">. Stripping the miraculous from </w:t>
      </w:r>
      <w:r w:rsidR="006F20A4">
        <w:t xml:space="preserve">tradition </w:t>
      </w:r>
      <w:r>
        <w:t>will</w:t>
      </w:r>
      <w:r w:rsidR="00481BC8">
        <w:t xml:space="preserve"> not </w:t>
      </w:r>
      <w:r w:rsidR="006F20A4">
        <w:t xml:space="preserve">necessarily </w:t>
      </w:r>
      <w:r w:rsidR="00481BC8">
        <w:t xml:space="preserve">bring </w:t>
      </w:r>
      <w:r w:rsidR="0031467B">
        <w:t xml:space="preserve">one </w:t>
      </w:r>
      <w:r w:rsidR="00481BC8">
        <w:t xml:space="preserve">closer to </w:t>
      </w:r>
      <w:r w:rsidR="00B02371">
        <w:t xml:space="preserve">the </w:t>
      </w:r>
      <w:r>
        <w:t>“</w:t>
      </w:r>
      <w:r w:rsidR="00B02371">
        <w:t xml:space="preserve">historical </w:t>
      </w:r>
      <w:r w:rsidR="00481BC8">
        <w:t>Muhammad</w:t>
      </w:r>
      <w:r w:rsidR="00F44266">
        <w:t>.</w:t>
      </w:r>
      <w:r>
        <w:t>”</w:t>
      </w:r>
      <w:r w:rsidR="00F44266">
        <w:t xml:space="preserve"> Verisimilitude, as Neusner pointed out long ago in the context of rabbinic studies, should not be confused with probability</w:t>
      </w:r>
      <w:r w:rsidR="00CB7563">
        <w:t>!</w:t>
      </w:r>
      <w:r w:rsidR="00481BC8">
        <w:rPr>
          <w:rStyle w:val="FootnoteReference"/>
        </w:rPr>
        <w:footnoteReference w:id="21"/>
      </w:r>
      <w:r w:rsidR="00481BC8">
        <w:t xml:space="preserve"> </w:t>
      </w:r>
    </w:p>
    <w:p w14:paraId="06F718AC" w14:textId="1A22F67E" w:rsidR="00C50B86" w:rsidRDefault="00585610" w:rsidP="00B952A1">
      <w:pPr>
        <w:spacing w:line="480" w:lineRule="auto"/>
        <w:ind w:firstLine="720"/>
        <w:jc w:val="both"/>
      </w:pPr>
      <w:r>
        <w:t xml:space="preserve">Likewise, the </w:t>
      </w:r>
      <w:r w:rsidR="00C50B86">
        <w:t xml:space="preserve">first chapter of John Esposito’s </w:t>
      </w:r>
      <w:r w:rsidR="00C50B86">
        <w:rPr>
          <w:i/>
          <w:iCs/>
        </w:rPr>
        <w:t>Islam: The Straight Path</w:t>
      </w:r>
      <w:r w:rsidR="00C50B86">
        <w:t xml:space="preserve"> adopts in many ways Armstrong’s approach, save that it is written by a specialist in Islam. Like Armstrong, Esposito claims that “we know a good deal about Muhammad’s life after his ‘call’ to be God’s messenger</w:t>
      </w:r>
      <w:r w:rsidR="00FE320C">
        <w:t>.</w:t>
      </w:r>
      <w:r w:rsidR="00C50B86">
        <w:t>”</w:t>
      </w:r>
      <w:r w:rsidR="00FE320C">
        <w:rPr>
          <w:rStyle w:val="FootnoteReference"/>
        </w:rPr>
        <w:footnoteReference w:id="22"/>
      </w:r>
      <w:r w:rsidR="00C50B86">
        <w:t xml:space="preserve"> Moreover, Esposito observes, without </w:t>
      </w:r>
      <w:r w:rsidR="00F44266">
        <w:t>critical assessment</w:t>
      </w:r>
      <w:r w:rsidR="00C50B86">
        <w:t>, that the “Quran has served as a major source for information regarding the life of the Prophet</w:t>
      </w:r>
      <w:r w:rsidR="00FE320C">
        <w:t>.</w:t>
      </w:r>
      <w:r w:rsidR="00C50B86">
        <w:t>”</w:t>
      </w:r>
      <w:r w:rsidR="00FE320C">
        <w:rPr>
          <w:rStyle w:val="FootnoteReference"/>
        </w:rPr>
        <w:footnoteReference w:id="23"/>
      </w:r>
      <w:r w:rsidR="00C50B86">
        <w:t xml:space="preserve"> The </w:t>
      </w:r>
      <w:r w:rsidR="005F099A">
        <w:t xml:space="preserve">brief </w:t>
      </w:r>
      <w:r w:rsidR="00C50B86">
        <w:t xml:space="preserve">biography of Muhammad he sketches, however, derives primarily from extra-Quranic Islamic traditions that enable him to fill huge gaps </w:t>
      </w:r>
      <w:r w:rsidR="00F44266">
        <w:t xml:space="preserve">missing </w:t>
      </w:r>
      <w:r w:rsidR="00B952A1">
        <w:t xml:space="preserve">in </w:t>
      </w:r>
      <w:r w:rsidR="00F44266">
        <w:t xml:space="preserve">the </w:t>
      </w:r>
      <w:r w:rsidR="005F099A">
        <w:t>Quran</w:t>
      </w:r>
      <w:r w:rsidR="00C50B86">
        <w:t>. Only at one point in his chapter does Esposito touch on the issue of “biblical criticism” simply to contrast it with the Islamic doctrine of revelation (</w:t>
      </w:r>
      <w:proofErr w:type="spellStart"/>
      <w:r w:rsidR="00C50B86">
        <w:rPr>
          <w:i/>
          <w:iCs/>
        </w:rPr>
        <w:t>wahy</w:t>
      </w:r>
      <w:proofErr w:type="spellEnd"/>
      <w:r w:rsidR="00C50B86">
        <w:t>), which po</w:t>
      </w:r>
      <w:r w:rsidR="00F7291A">
        <w:t>sits that both form and content</w:t>
      </w:r>
      <w:r w:rsidR="00C50B86">
        <w:t xml:space="preserve"> as well as the actual words of the Qur</w:t>
      </w:r>
      <w:r w:rsidR="00C96173">
        <w:t>’</w:t>
      </w:r>
      <w:r w:rsidR="00C50B86">
        <w:t xml:space="preserve">an are attributed to God. Otherwise, Esposito’s main concern, besides rehearsing Islamic </w:t>
      </w:r>
      <w:r w:rsidR="00C50B86">
        <w:lastRenderedPageBreak/>
        <w:t xml:space="preserve">self-understanding, </w:t>
      </w:r>
      <w:r w:rsidR="000C49DC">
        <w:t xml:space="preserve">is </w:t>
      </w:r>
      <w:r w:rsidR="0031467B">
        <w:t xml:space="preserve">akin to Armstrong’s, as he seeks to </w:t>
      </w:r>
      <w:r w:rsidR="00B952A1">
        <w:t xml:space="preserve">reduce </w:t>
      </w:r>
      <w:r w:rsidR="0031467B">
        <w:t xml:space="preserve">Western </w:t>
      </w:r>
      <w:r w:rsidR="00FE320C">
        <w:t xml:space="preserve">anxieties </w:t>
      </w:r>
      <w:r w:rsidR="0031467B">
        <w:t>about Islam.</w:t>
      </w:r>
      <w:r w:rsidR="00C50B86">
        <w:rPr>
          <w:rStyle w:val="FootnoteReference"/>
        </w:rPr>
        <w:footnoteReference w:id="24"/>
      </w:r>
      <w:r w:rsidR="00C50B86">
        <w:t xml:space="preserve"> </w:t>
      </w:r>
    </w:p>
    <w:p w14:paraId="507A248C" w14:textId="7F6B8B4D" w:rsidR="00C50B86" w:rsidRDefault="00CD4D4B" w:rsidP="00DF3990">
      <w:pPr>
        <w:spacing w:line="480" w:lineRule="auto"/>
        <w:ind w:firstLine="720"/>
        <w:jc w:val="both"/>
      </w:pPr>
      <w:r>
        <w:t>Finding the right translation of the Qur</w:t>
      </w:r>
      <w:r w:rsidR="000C49DC">
        <w:t>’</w:t>
      </w:r>
      <w:r>
        <w:t xml:space="preserve">an </w:t>
      </w:r>
      <w:r w:rsidR="00DF16DD">
        <w:t xml:space="preserve">with annotations that do not </w:t>
      </w:r>
      <w:r w:rsidR="00C50B86">
        <w:t xml:space="preserve">simply </w:t>
      </w:r>
      <w:r w:rsidR="00F7291A">
        <w:t xml:space="preserve">repeat tradition </w:t>
      </w:r>
      <w:r w:rsidR="00DF16DD">
        <w:t>but are</w:t>
      </w:r>
      <w:r w:rsidR="00C822A3">
        <w:t xml:space="preserve"> also</w:t>
      </w:r>
      <w:r w:rsidR="00DF16DD">
        <w:t xml:space="preserve"> historically </w:t>
      </w:r>
      <w:r w:rsidR="00B952A1">
        <w:t xml:space="preserve">grounded </w:t>
      </w:r>
      <w:r w:rsidR="00DF16DD">
        <w:t xml:space="preserve">can be </w:t>
      </w:r>
      <w:r w:rsidR="00BB5A80">
        <w:t>equally challenging</w:t>
      </w:r>
      <w:r>
        <w:t xml:space="preserve">. </w:t>
      </w:r>
      <w:r w:rsidR="007E4A57">
        <w:t xml:space="preserve">I have </w:t>
      </w:r>
      <w:r w:rsidR="00C50B86">
        <w:t xml:space="preserve">used translations </w:t>
      </w:r>
      <w:r w:rsidR="000C49DC">
        <w:t xml:space="preserve">written </w:t>
      </w:r>
      <w:r w:rsidR="0031467B">
        <w:t xml:space="preserve">by </w:t>
      </w:r>
      <w:r w:rsidR="00DF3990">
        <w:t xml:space="preserve">Michael </w:t>
      </w:r>
      <w:r w:rsidR="00C50B86">
        <w:t xml:space="preserve">Sells, </w:t>
      </w:r>
      <w:r w:rsidR="00DF3990">
        <w:t xml:space="preserve">N. J. </w:t>
      </w:r>
      <w:r w:rsidR="007E4A57">
        <w:t xml:space="preserve">Dawood, </w:t>
      </w:r>
      <w:r w:rsidR="00DF3990">
        <w:t xml:space="preserve">Abdullah Yusuf </w:t>
      </w:r>
      <w:r w:rsidR="007E4A57">
        <w:t xml:space="preserve">Ali, </w:t>
      </w:r>
      <w:r w:rsidR="00DF3990">
        <w:t xml:space="preserve">Muhammad </w:t>
      </w:r>
      <w:r w:rsidR="007E4A57">
        <w:t xml:space="preserve">Asa, </w:t>
      </w:r>
      <w:r w:rsidR="00DF3990">
        <w:t xml:space="preserve">A. J. </w:t>
      </w:r>
      <w:proofErr w:type="spellStart"/>
      <w:r w:rsidR="007E4A57">
        <w:t>Arberry</w:t>
      </w:r>
      <w:proofErr w:type="spellEnd"/>
      <w:r w:rsidR="007E4A57">
        <w:t xml:space="preserve">, </w:t>
      </w:r>
      <w:r w:rsidR="00DF16DD">
        <w:t xml:space="preserve">and </w:t>
      </w:r>
      <w:r w:rsidR="00DF3990">
        <w:t xml:space="preserve">M. A. S. </w:t>
      </w:r>
      <w:r w:rsidR="009B593C">
        <w:t xml:space="preserve">Abdel </w:t>
      </w:r>
      <w:r w:rsidR="007E4A57">
        <w:t xml:space="preserve">Haleem. </w:t>
      </w:r>
      <w:r w:rsidR="00C50B86">
        <w:t xml:space="preserve">Sells’ </w:t>
      </w:r>
      <w:r w:rsidR="00C50B86">
        <w:rPr>
          <w:i/>
          <w:iCs/>
        </w:rPr>
        <w:t>Approaching the Qur’an</w:t>
      </w:r>
      <w:r w:rsidR="00062327">
        <w:rPr>
          <w:i/>
          <w:iCs/>
        </w:rPr>
        <w:t>: The Early Revelations</w:t>
      </w:r>
      <w:r w:rsidR="00C50B86">
        <w:t xml:space="preserve"> splendid</w:t>
      </w:r>
      <w:r w:rsidR="0031467B">
        <w:t>ly</w:t>
      </w:r>
      <w:r w:rsidR="00C50B86">
        <w:t xml:space="preserve"> </w:t>
      </w:r>
      <w:r w:rsidR="009B593C">
        <w:t xml:space="preserve">cultivates for </w:t>
      </w:r>
      <w:r w:rsidR="0031467B">
        <w:t>the non-</w:t>
      </w:r>
      <w:proofErr w:type="spellStart"/>
      <w:r w:rsidR="0031467B">
        <w:t>Arabist</w:t>
      </w:r>
      <w:proofErr w:type="spellEnd"/>
      <w:r w:rsidR="0031467B">
        <w:t xml:space="preserve"> a</w:t>
      </w:r>
      <w:r w:rsidR="009B593C">
        <w:t xml:space="preserve">n appreciation for the </w:t>
      </w:r>
      <w:r w:rsidR="00C50B86">
        <w:t>poetic</w:t>
      </w:r>
      <w:r w:rsidR="0031467B">
        <w:t xml:space="preserve"> feel </w:t>
      </w:r>
      <w:r w:rsidR="009B593C">
        <w:t xml:space="preserve">of </w:t>
      </w:r>
      <w:r w:rsidR="0031467B">
        <w:t>t</w:t>
      </w:r>
      <w:r w:rsidR="00C50B86">
        <w:t>he Quranic text.</w:t>
      </w:r>
      <w:r w:rsidR="00C50B86">
        <w:rPr>
          <w:rStyle w:val="FootnoteReference"/>
        </w:rPr>
        <w:footnoteReference w:id="25"/>
      </w:r>
      <w:r w:rsidR="00C50B86">
        <w:t xml:space="preserve"> </w:t>
      </w:r>
      <w:r w:rsidR="00F7291A">
        <w:t>But a</w:t>
      </w:r>
      <w:r w:rsidR="00C50B86">
        <w:t xml:space="preserve">s </w:t>
      </w:r>
      <w:r w:rsidR="00F7291A">
        <w:t xml:space="preserve">its </w:t>
      </w:r>
      <w:r w:rsidR="00C50B86">
        <w:t xml:space="preserve">subtitle suggests, Sells’ book </w:t>
      </w:r>
      <w:r w:rsidR="000C49DC">
        <w:t xml:space="preserve">accepts </w:t>
      </w:r>
      <w:r w:rsidR="00C50B86">
        <w:rPr>
          <w:i/>
          <w:iCs/>
        </w:rPr>
        <w:t xml:space="preserve">sans plus </w:t>
      </w:r>
      <w:r w:rsidR="00C50B86">
        <w:t>the traditional bifurcation of the Qur</w:t>
      </w:r>
      <w:r w:rsidR="00C96173">
        <w:t>’</w:t>
      </w:r>
      <w:r w:rsidR="00C50B86">
        <w:t xml:space="preserve">an into Meccan and Medinan </w:t>
      </w:r>
      <w:r w:rsidR="000C49DC">
        <w:t>layers</w:t>
      </w:r>
      <w:r w:rsidR="00C50B86">
        <w:t xml:space="preserve">. To be fair, Sells does not aim at providing any kind of historical reconstruction of the Quranic text. The book only seeks to familiarize the general reader with a sense of the beauty and contents of a limited number of selected Quranic passages, </w:t>
      </w:r>
      <w:r w:rsidR="00585610">
        <w:t xml:space="preserve">specifically </w:t>
      </w:r>
      <w:r w:rsidR="00C50B86">
        <w:t xml:space="preserve">those that are not so polemical </w:t>
      </w:r>
      <w:r w:rsidR="00AC70E3">
        <w:t xml:space="preserve">(i.e., the “Meccan ones”) </w:t>
      </w:r>
      <w:r w:rsidR="00C50B86">
        <w:t xml:space="preserve">in their tone. Jewish and Christian sources play </w:t>
      </w:r>
      <w:r w:rsidR="00AC70E3">
        <w:t xml:space="preserve">little </w:t>
      </w:r>
      <w:r w:rsidR="00F7291A">
        <w:t xml:space="preserve">to no </w:t>
      </w:r>
      <w:r w:rsidR="00C50B86">
        <w:t xml:space="preserve">role in elucidating Quranic passages, although Sell’s reference to pre-Islamic Arabian poetry </w:t>
      </w:r>
      <w:r w:rsidR="00F7291A">
        <w:t xml:space="preserve">proves </w:t>
      </w:r>
      <w:r w:rsidR="00C50B86">
        <w:t xml:space="preserve">illuminating. </w:t>
      </w:r>
    </w:p>
    <w:p w14:paraId="78D8F32F" w14:textId="0770D81F" w:rsidR="009269E8" w:rsidRDefault="00FF0E0A" w:rsidP="00062327">
      <w:pPr>
        <w:spacing w:line="480" w:lineRule="auto"/>
        <w:ind w:firstLine="720"/>
        <w:jc w:val="both"/>
      </w:pPr>
      <w:r>
        <w:t>Dawood, who was born in Baghdad and of Jewish heritag</w:t>
      </w:r>
      <w:r w:rsidR="003F7F69">
        <w:t>e, strived to translate the Qur</w:t>
      </w:r>
      <w:r w:rsidR="00C96173">
        <w:t>’</w:t>
      </w:r>
      <w:r w:rsidR="003F7F69">
        <w:t>a</w:t>
      </w:r>
      <w:r>
        <w:t xml:space="preserve">n in a way that would be accessible to the modern reader.  </w:t>
      </w:r>
      <w:r w:rsidR="00062327">
        <w:t xml:space="preserve">The introduction to the text, however, follows Islamic tradition. Furthermore, </w:t>
      </w:r>
      <w:r w:rsidR="00585610">
        <w:t xml:space="preserve">his </w:t>
      </w:r>
      <w:r w:rsidR="00F7291A">
        <w:t xml:space="preserve">translation </w:t>
      </w:r>
      <w:r w:rsidR="007E4A57">
        <w:t xml:space="preserve">does not number all of the </w:t>
      </w:r>
      <w:r w:rsidR="00C822A3">
        <w:t xml:space="preserve">verses for </w:t>
      </w:r>
      <w:r w:rsidR="005402C7">
        <w:t xml:space="preserve">each </w:t>
      </w:r>
      <w:r w:rsidR="007E4A57">
        <w:t xml:space="preserve">surah, </w:t>
      </w:r>
      <w:r w:rsidR="00AC70E3">
        <w:t>presenting</w:t>
      </w:r>
      <w:r w:rsidR="00C822A3">
        <w:t xml:space="preserve"> difficulties </w:t>
      </w:r>
      <w:r w:rsidR="007E4A57">
        <w:t xml:space="preserve">for </w:t>
      </w:r>
      <w:r w:rsidR="00585610">
        <w:t xml:space="preserve">beginning </w:t>
      </w:r>
      <w:r w:rsidR="007E4A57">
        <w:t xml:space="preserve">students </w:t>
      </w:r>
      <w:r w:rsidR="00585610">
        <w:t xml:space="preserve">trying to </w:t>
      </w:r>
      <w:r w:rsidR="00C822A3">
        <w:t>navigat</w:t>
      </w:r>
      <w:r w:rsidR="00585610">
        <w:t>e</w:t>
      </w:r>
      <w:r w:rsidR="00C822A3">
        <w:t xml:space="preserve"> </w:t>
      </w:r>
      <w:r w:rsidR="00F7291A">
        <w:t xml:space="preserve">a new text, </w:t>
      </w:r>
      <w:r w:rsidR="00585610">
        <w:t xml:space="preserve">and </w:t>
      </w:r>
      <w:r w:rsidR="00062327">
        <w:t>the annotations are extremely brief</w:t>
      </w:r>
      <w:r w:rsidR="00062327">
        <w:rPr>
          <w:rStyle w:val="FootnoteReference"/>
          <w:vertAlign w:val="baseline"/>
        </w:rPr>
        <w:t>.</w:t>
      </w:r>
      <w:r w:rsidR="00DF16DD">
        <w:rPr>
          <w:rStyle w:val="FootnoteReference"/>
        </w:rPr>
        <w:footnoteReference w:id="26"/>
      </w:r>
      <w:r>
        <w:t xml:space="preserve"> </w:t>
      </w:r>
      <w:proofErr w:type="spellStart"/>
      <w:r w:rsidR="007E4A57">
        <w:t>Arberry’s</w:t>
      </w:r>
      <w:proofErr w:type="spellEnd"/>
      <w:r w:rsidR="007E4A57">
        <w:t xml:space="preserve"> translation, though elegant in its English rendering, also contains a unique numbering </w:t>
      </w:r>
      <w:r w:rsidR="005402C7">
        <w:t>system</w:t>
      </w:r>
      <w:r w:rsidR="007E4A57">
        <w:t xml:space="preserve">, while some of the </w:t>
      </w:r>
      <w:r w:rsidR="003F7F69">
        <w:t xml:space="preserve">dated </w:t>
      </w:r>
      <w:r w:rsidR="007E4A57">
        <w:t xml:space="preserve">formulations </w:t>
      </w:r>
      <w:r w:rsidR="003F7F69">
        <w:t xml:space="preserve">can </w:t>
      </w:r>
      <w:r w:rsidR="004749DA">
        <w:t xml:space="preserve">prove </w:t>
      </w:r>
      <w:r w:rsidR="004749DA">
        <w:lastRenderedPageBreak/>
        <w:t>burdensome</w:t>
      </w:r>
      <w:r w:rsidR="007E4A57">
        <w:t xml:space="preserve"> for a</w:t>
      </w:r>
      <w:r w:rsidR="00F7291A">
        <w:t xml:space="preserve"> contemporary</w:t>
      </w:r>
      <w:r w:rsidR="007E4A57">
        <w:t xml:space="preserve"> undergraduate </w:t>
      </w:r>
      <w:r w:rsidR="00AC70E3">
        <w:t>reader</w:t>
      </w:r>
      <w:r w:rsidR="007E4A57">
        <w:t xml:space="preserve">. </w:t>
      </w:r>
      <w:r w:rsidR="009B593C">
        <w:t>In addition, t</w:t>
      </w:r>
      <w:r w:rsidR="00C50B86">
        <w:t xml:space="preserve">he introduction to his translation includes </w:t>
      </w:r>
      <w:r w:rsidR="00AC70E3">
        <w:t xml:space="preserve">hostile </w:t>
      </w:r>
      <w:r w:rsidR="00C50B86">
        <w:t xml:space="preserve">statements against the historical-critical </w:t>
      </w:r>
      <w:r w:rsidR="004749DA">
        <w:t>method</w:t>
      </w:r>
      <w:r w:rsidR="00F3110E">
        <w:t>.</w:t>
      </w:r>
      <w:r w:rsidR="00F3110E">
        <w:rPr>
          <w:rStyle w:val="FootnoteReference"/>
        </w:rPr>
        <w:footnoteReference w:id="27"/>
      </w:r>
      <w:r w:rsidR="00F3110E">
        <w:t xml:space="preserve"> </w:t>
      </w:r>
    </w:p>
    <w:p w14:paraId="35F65A98" w14:textId="77777777" w:rsidR="00CE3F18" w:rsidRDefault="00C52031" w:rsidP="009B593C">
      <w:pPr>
        <w:spacing w:line="480" w:lineRule="auto"/>
        <w:ind w:firstLine="720"/>
        <w:jc w:val="both"/>
      </w:pPr>
      <w:r>
        <w:t xml:space="preserve">Today, the </w:t>
      </w:r>
      <w:r w:rsidR="00AB5EB6">
        <w:t xml:space="preserve">language of the </w:t>
      </w:r>
      <w:r w:rsidR="003F7F69">
        <w:t xml:space="preserve">widely-distributed </w:t>
      </w:r>
      <w:r w:rsidR="00AB5EB6">
        <w:t xml:space="preserve">translation by </w:t>
      </w:r>
      <w:r>
        <w:t xml:space="preserve">Yusuf Ali </w:t>
      </w:r>
      <w:r w:rsidR="004749DA">
        <w:t xml:space="preserve">would prove </w:t>
      </w:r>
      <w:r>
        <w:t xml:space="preserve">equally </w:t>
      </w:r>
      <w:r w:rsidR="004749DA">
        <w:t>cumbersome</w:t>
      </w:r>
      <w:r>
        <w:t xml:space="preserve">. It is, furthermore, </w:t>
      </w:r>
      <w:r w:rsidR="005402C7">
        <w:t xml:space="preserve">confessional </w:t>
      </w:r>
      <w:r w:rsidR="007A7716">
        <w:t xml:space="preserve">in </w:t>
      </w:r>
      <w:r w:rsidR="005402C7">
        <w:t>nature</w:t>
      </w:r>
      <w:r w:rsidR="007A7716">
        <w:t xml:space="preserve">, at times </w:t>
      </w:r>
      <w:r>
        <w:t>“evangelistic</w:t>
      </w:r>
      <w:r w:rsidR="007A7716">
        <w:t xml:space="preserve">” in </w:t>
      </w:r>
      <w:r>
        <w:t xml:space="preserve">its </w:t>
      </w:r>
      <w:r w:rsidR="007A7716">
        <w:t xml:space="preserve">attempt to persuade </w:t>
      </w:r>
      <w:r w:rsidR="00034FDF">
        <w:t xml:space="preserve">readers </w:t>
      </w:r>
      <w:r w:rsidR="007A7716">
        <w:t xml:space="preserve">about </w:t>
      </w:r>
      <w:r w:rsidR="00034FDF">
        <w:t xml:space="preserve">the </w:t>
      </w:r>
      <w:r>
        <w:t xml:space="preserve">merits and </w:t>
      </w:r>
      <w:r w:rsidR="00034FDF">
        <w:t xml:space="preserve">truths of </w:t>
      </w:r>
      <w:r w:rsidR="007A7716">
        <w:t xml:space="preserve">Islamic </w:t>
      </w:r>
      <w:r>
        <w:t>belief</w:t>
      </w:r>
      <w:r w:rsidR="005402C7">
        <w:t xml:space="preserve">. </w:t>
      </w:r>
      <w:r w:rsidR="009B593C">
        <w:t>Nonetheless, t</w:t>
      </w:r>
      <w:r w:rsidR="003F7F69">
        <w:t>he trans</w:t>
      </w:r>
      <w:r w:rsidR="009B593C">
        <w:t>lation and numerous annotations</w:t>
      </w:r>
      <w:r w:rsidR="003F7F69">
        <w:t xml:space="preserve"> derived from Islamic medieval sources are valuable </w:t>
      </w:r>
      <w:r w:rsidR="00CE3F18">
        <w:t xml:space="preserve">for illustrating </w:t>
      </w:r>
      <w:r w:rsidR="007A7716">
        <w:t xml:space="preserve">how certain Muslims </w:t>
      </w:r>
      <w:r w:rsidR="004749DA">
        <w:t xml:space="preserve">have </w:t>
      </w:r>
      <w:r w:rsidR="007A7716">
        <w:t>view</w:t>
      </w:r>
      <w:r w:rsidR="004749DA">
        <w:t>ed</w:t>
      </w:r>
      <w:r w:rsidR="007A7716">
        <w:t xml:space="preserve"> their scriptures.</w:t>
      </w:r>
      <w:r w:rsidR="004749DA">
        <w:rPr>
          <w:rStyle w:val="FootnoteReference"/>
        </w:rPr>
        <w:footnoteReference w:id="28"/>
      </w:r>
      <w:r w:rsidR="007A7716">
        <w:t xml:space="preserve"> </w:t>
      </w:r>
      <w:r w:rsidR="00CE3F18">
        <w:t>M</w:t>
      </w:r>
      <w:r w:rsidR="009269E8">
        <w:t xml:space="preserve">ention </w:t>
      </w:r>
      <w:r w:rsidR="00CE3F18">
        <w:t xml:space="preserve">of </w:t>
      </w:r>
      <w:r w:rsidR="009269E8">
        <w:t xml:space="preserve">Muhammad Asa’s translation </w:t>
      </w:r>
      <w:r w:rsidR="00CE3F18">
        <w:t xml:space="preserve">could be made </w:t>
      </w:r>
      <w:r w:rsidR="009269E8">
        <w:t xml:space="preserve">here as well, </w:t>
      </w:r>
      <w:r w:rsidR="00CE3F18">
        <w:t xml:space="preserve">as it is </w:t>
      </w:r>
      <w:r w:rsidR="009269E8">
        <w:t xml:space="preserve">also written from a </w:t>
      </w:r>
      <w:r w:rsidR="00AB5EB6">
        <w:t xml:space="preserve">similar </w:t>
      </w:r>
      <w:r w:rsidR="009269E8">
        <w:t xml:space="preserve">confessional </w:t>
      </w:r>
      <w:r w:rsidR="00AB5EB6">
        <w:t>vein</w:t>
      </w:r>
      <w:r w:rsidR="00CE3F18">
        <w:t>.</w:t>
      </w:r>
      <w:r w:rsidR="009269E8">
        <w:t xml:space="preserve"> Asa was a Jewish convert to Islam</w:t>
      </w:r>
      <w:r w:rsidR="00CE3F18">
        <w:t xml:space="preserve">. His translation and </w:t>
      </w:r>
      <w:r w:rsidR="009269E8">
        <w:t xml:space="preserve">annotations </w:t>
      </w:r>
      <w:r w:rsidR="00CE3F18">
        <w:t>tend to demythologize and rationalize</w:t>
      </w:r>
      <w:r w:rsidR="009269E8">
        <w:t>.</w:t>
      </w:r>
      <w:r w:rsidR="009269E8">
        <w:rPr>
          <w:rStyle w:val="FootnoteReference"/>
        </w:rPr>
        <w:footnoteReference w:id="29"/>
      </w:r>
      <w:r w:rsidR="007A7716">
        <w:t xml:space="preserve"> </w:t>
      </w:r>
    </w:p>
    <w:p w14:paraId="46FE5142" w14:textId="174C68D8" w:rsidR="007E4A57" w:rsidRDefault="00CE3F18" w:rsidP="00062327">
      <w:pPr>
        <w:spacing w:line="480" w:lineRule="auto"/>
        <w:ind w:firstLine="720"/>
        <w:jc w:val="both"/>
      </w:pPr>
      <w:r>
        <w:t xml:space="preserve">Two more recent translations also </w:t>
      </w:r>
      <w:r w:rsidR="00995D25">
        <w:t xml:space="preserve">adopt a </w:t>
      </w:r>
      <w:r>
        <w:t xml:space="preserve">confessional </w:t>
      </w:r>
      <w:r w:rsidR="00995D25">
        <w:t xml:space="preserve">stance that </w:t>
      </w:r>
      <w:r>
        <w:t>eschew</w:t>
      </w:r>
      <w:r w:rsidR="00995D25">
        <w:t>s</w:t>
      </w:r>
      <w:r>
        <w:t xml:space="preserve"> critical analysis</w:t>
      </w:r>
      <w:r w:rsidR="00995D25">
        <w:t xml:space="preserve"> of the Quran</w:t>
      </w:r>
      <w:r>
        <w:t xml:space="preserve">. </w:t>
      </w:r>
      <w:r w:rsidR="00005BB1">
        <w:t>A</w:t>
      </w:r>
      <w:r w:rsidR="00F14C62">
        <w:t xml:space="preserve">bdel </w:t>
      </w:r>
      <w:r w:rsidR="005039C3">
        <w:t xml:space="preserve">Haleem’s </w:t>
      </w:r>
      <w:r w:rsidR="002B4129">
        <w:rPr>
          <w:i/>
          <w:iCs/>
        </w:rPr>
        <w:t>The Qur</w:t>
      </w:r>
      <w:r w:rsidR="00C96173">
        <w:rPr>
          <w:i/>
          <w:iCs/>
        </w:rPr>
        <w:t>’</w:t>
      </w:r>
      <w:r w:rsidR="002B4129">
        <w:rPr>
          <w:i/>
          <w:iCs/>
        </w:rPr>
        <w:t xml:space="preserve">an: A New Translation </w:t>
      </w:r>
      <w:r w:rsidR="00034FDF">
        <w:t>introduces e</w:t>
      </w:r>
      <w:r w:rsidR="007E4A57">
        <w:t>ach surah of the Qur</w:t>
      </w:r>
      <w:r w:rsidR="00C96173">
        <w:t>’</w:t>
      </w:r>
      <w:r w:rsidR="007E4A57">
        <w:t>an as “Meccan” or “Medinan</w:t>
      </w:r>
      <w:r w:rsidR="00785F8A">
        <w:t>,</w:t>
      </w:r>
      <w:r w:rsidR="007E4A57">
        <w:t xml:space="preserve">” </w:t>
      </w:r>
      <w:r w:rsidR="00034FDF">
        <w:t xml:space="preserve">followed by </w:t>
      </w:r>
      <w:r w:rsidR="00785F8A">
        <w:t>explanatory comments</w:t>
      </w:r>
      <w:r w:rsidR="003331B2">
        <w:t xml:space="preserve"> in italics</w:t>
      </w:r>
      <w:r w:rsidR="00785F8A">
        <w:t xml:space="preserve"> </w:t>
      </w:r>
      <w:r w:rsidR="003331B2">
        <w:t xml:space="preserve">derived </w:t>
      </w:r>
      <w:r w:rsidR="00785F8A">
        <w:t xml:space="preserve">from </w:t>
      </w:r>
      <w:r w:rsidR="00A90921">
        <w:t xml:space="preserve">medieval Islamic traditions </w:t>
      </w:r>
      <w:r w:rsidR="00034FDF">
        <w:t xml:space="preserve">(presumably Sunni) </w:t>
      </w:r>
      <w:r w:rsidR="00A90921">
        <w:t xml:space="preserve">that were </w:t>
      </w:r>
      <w:r w:rsidR="00034FDF">
        <w:t xml:space="preserve">produced </w:t>
      </w:r>
      <w:r w:rsidR="00A90921" w:rsidRPr="00221E67">
        <w:t>after</w:t>
      </w:r>
      <w:r w:rsidR="00A90921">
        <w:t xml:space="preserve"> the time the Qur</w:t>
      </w:r>
      <w:r w:rsidR="00F14C62">
        <w:t>’</w:t>
      </w:r>
      <w:r w:rsidR="00A90921">
        <w:t xml:space="preserve">an was composed. </w:t>
      </w:r>
      <w:r w:rsidR="00F14C62">
        <w:t xml:space="preserve">Naturally, such </w:t>
      </w:r>
      <w:r w:rsidR="002B4129">
        <w:t xml:space="preserve">introductory notes </w:t>
      </w:r>
      <w:r w:rsidR="00F14C62">
        <w:t xml:space="preserve">will </w:t>
      </w:r>
      <w:r w:rsidR="003331B2">
        <w:t xml:space="preserve">condition </w:t>
      </w:r>
      <w:r w:rsidR="002B4129">
        <w:t xml:space="preserve">the </w:t>
      </w:r>
      <w:r w:rsidR="00F14C62">
        <w:t xml:space="preserve">uninitiated </w:t>
      </w:r>
      <w:r w:rsidR="002B4129">
        <w:t xml:space="preserve">reader’s understanding </w:t>
      </w:r>
      <w:r w:rsidR="003331B2">
        <w:t xml:space="preserve">by restricting the meaning of </w:t>
      </w:r>
      <w:r w:rsidR="00F14C62">
        <w:t>particular suras</w:t>
      </w:r>
      <w:r w:rsidR="003331B2">
        <w:t>—and the Qur</w:t>
      </w:r>
      <w:r w:rsidR="00F14C62">
        <w:t>’</w:t>
      </w:r>
      <w:r w:rsidR="003331B2">
        <w:t xml:space="preserve">an as </w:t>
      </w:r>
      <w:r w:rsidR="00F14C62">
        <w:t xml:space="preserve">a </w:t>
      </w:r>
      <w:r w:rsidR="003331B2">
        <w:t>whole</w:t>
      </w:r>
      <w:r w:rsidR="00E4063C">
        <w:t xml:space="preserve">—to a particular </w:t>
      </w:r>
      <w:r w:rsidR="003331B2">
        <w:t xml:space="preserve">contextualization </w:t>
      </w:r>
      <w:r w:rsidR="00E4063C">
        <w:t>deriving from medieval tradition</w:t>
      </w:r>
      <w:r w:rsidR="00F14C62">
        <w:t xml:space="preserve">, which </w:t>
      </w:r>
      <w:r w:rsidR="00221E67">
        <w:t xml:space="preserve">Abdel Haleem </w:t>
      </w:r>
      <w:r w:rsidR="00F14C62">
        <w:t xml:space="preserve">takes </w:t>
      </w:r>
      <w:r w:rsidR="003331B2">
        <w:t xml:space="preserve">to </w:t>
      </w:r>
      <w:r w:rsidR="00E4063C">
        <w:t>be the original historical setting of the Quranic text</w:t>
      </w:r>
      <w:r w:rsidR="002B4129">
        <w:t>.</w:t>
      </w:r>
      <w:r w:rsidR="00221E67">
        <w:t xml:space="preserve"> </w:t>
      </w:r>
      <w:r w:rsidR="00E4063C">
        <w:t>His historical approach</w:t>
      </w:r>
      <w:r w:rsidR="00221E67">
        <w:t xml:space="preserve"> </w:t>
      </w:r>
      <w:r w:rsidR="00E4063C">
        <w:t>is</w:t>
      </w:r>
      <w:r w:rsidR="00221E67">
        <w:t>, accordingly,</w:t>
      </w:r>
      <w:r w:rsidR="00E4063C">
        <w:t xml:space="preserve"> no </w:t>
      </w:r>
      <w:r w:rsidR="00E4063C">
        <w:lastRenderedPageBreak/>
        <w:t>different than that of Yusuf Ali or Asa.</w:t>
      </w:r>
      <w:r w:rsidR="00264B7C">
        <w:rPr>
          <w:rStyle w:val="FootnoteReference"/>
        </w:rPr>
        <w:footnoteReference w:id="30"/>
      </w:r>
      <w:r w:rsidR="00E4063C">
        <w:t xml:space="preserve"> </w:t>
      </w:r>
      <w:r w:rsidR="00221E67">
        <w:t>But u</w:t>
      </w:r>
      <w:r w:rsidR="00E4063C">
        <w:t>nlike Yusuf Ali and</w:t>
      </w:r>
      <w:r w:rsidR="00221E67">
        <w:t xml:space="preserve"> Asa’s editions, Abdel </w:t>
      </w:r>
      <w:r w:rsidR="00E4063C">
        <w:t>Haleem</w:t>
      </w:r>
      <w:r w:rsidR="00221E67">
        <w:t xml:space="preserve"> is a professor at a </w:t>
      </w:r>
      <w:r w:rsidR="00995D25">
        <w:t xml:space="preserve">prominent </w:t>
      </w:r>
      <w:r w:rsidR="00221E67">
        <w:t>Western institution, the University of London</w:t>
      </w:r>
      <w:r w:rsidR="00995D25">
        <w:t xml:space="preserve">. His </w:t>
      </w:r>
      <w:r w:rsidR="006901B5">
        <w:t>translation</w:t>
      </w:r>
      <w:r w:rsidR="00995D25">
        <w:t xml:space="preserve">, furthermore, </w:t>
      </w:r>
      <w:r w:rsidR="006901B5">
        <w:t>is published by a W</w:t>
      </w:r>
      <w:r w:rsidR="00E4063C">
        <w:t>estern academic university press (Oxford).</w:t>
      </w:r>
      <w:r w:rsidR="006901B5">
        <w:rPr>
          <w:rStyle w:val="FootnoteReference"/>
        </w:rPr>
        <w:footnoteReference w:id="31"/>
      </w:r>
    </w:p>
    <w:p w14:paraId="25803B3A" w14:textId="686BF186" w:rsidR="00995D25" w:rsidRDefault="00037C43" w:rsidP="00441947">
      <w:pPr>
        <w:spacing w:line="480" w:lineRule="auto"/>
        <w:ind w:firstLine="720"/>
        <w:jc w:val="both"/>
      </w:pPr>
      <w:r>
        <w:t xml:space="preserve">The </w:t>
      </w:r>
      <w:r>
        <w:rPr>
          <w:i/>
          <w:iCs/>
        </w:rPr>
        <w:t xml:space="preserve">Study Quran </w:t>
      </w:r>
      <w:r>
        <w:t>is published by a Western press</w:t>
      </w:r>
      <w:r w:rsidR="001E7EA2">
        <w:t xml:space="preserve"> (HarperOne)</w:t>
      </w:r>
      <w:r>
        <w:t xml:space="preserve">, </w:t>
      </w:r>
      <w:r w:rsidR="00E243CE">
        <w:t xml:space="preserve">translated and </w:t>
      </w:r>
      <w:r>
        <w:t xml:space="preserve">authored by </w:t>
      </w:r>
      <w:r w:rsidR="00E243CE">
        <w:t xml:space="preserve">several </w:t>
      </w:r>
      <w:r>
        <w:t xml:space="preserve">professors </w:t>
      </w:r>
      <w:r w:rsidR="001E7EA2">
        <w:t xml:space="preserve">working at Western universities, </w:t>
      </w:r>
      <w:r w:rsidR="00DF6B17">
        <w:t xml:space="preserve">both public and private, </w:t>
      </w:r>
      <w:r w:rsidR="001E7EA2">
        <w:t>and was widely promo</w:t>
      </w:r>
      <w:r>
        <w:t>t</w:t>
      </w:r>
      <w:r w:rsidR="001E7EA2">
        <w:t xml:space="preserve">ed at </w:t>
      </w:r>
      <w:r w:rsidR="00DF6B17">
        <w:t xml:space="preserve">the </w:t>
      </w:r>
      <w:r w:rsidR="00585610">
        <w:t xml:space="preserve">2015 </w:t>
      </w:r>
      <w:r w:rsidR="00DF6B17">
        <w:t xml:space="preserve">annual </w:t>
      </w:r>
      <w:r w:rsidR="001E7EA2">
        <w:t>meeting of the American Academy of Religion and the Society of Biblical Literature.</w:t>
      </w:r>
      <w:r w:rsidR="00DF6B17">
        <w:rPr>
          <w:rStyle w:val="FootnoteReference"/>
        </w:rPr>
        <w:footnoteReference w:id="32"/>
      </w:r>
      <w:r w:rsidR="001E7EA2">
        <w:t xml:space="preserve"> </w:t>
      </w:r>
      <w:r w:rsidR="00E243CE">
        <w:t xml:space="preserve">HarperOne initially intended </w:t>
      </w:r>
      <w:r w:rsidR="00995D25">
        <w:t xml:space="preserve">to create </w:t>
      </w:r>
      <w:r w:rsidR="00221E67">
        <w:t xml:space="preserve">an </w:t>
      </w:r>
      <w:r w:rsidR="00E243CE">
        <w:t>edition of the Qur</w:t>
      </w:r>
      <w:r w:rsidR="00F14C62">
        <w:t>’</w:t>
      </w:r>
      <w:r w:rsidR="00E243CE">
        <w:t xml:space="preserve">an </w:t>
      </w:r>
      <w:r w:rsidR="00221E67">
        <w:t xml:space="preserve">that would </w:t>
      </w:r>
      <w:r w:rsidR="00E243CE">
        <w:t xml:space="preserve">correspond to </w:t>
      </w:r>
      <w:r w:rsidR="00E243CE">
        <w:rPr>
          <w:i/>
          <w:iCs/>
        </w:rPr>
        <w:t xml:space="preserve">The HarperCollins Study Bible. </w:t>
      </w:r>
      <w:r w:rsidR="00F047AB">
        <w:t xml:space="preserve">Those familiar with </w:t>
      </w:r>
      <w:r w:rsidR="00441947">
        <w:t xml:space="preserve">the latter </w:t>
      </w:r>
      <w:r w:rsidR="00F047AB">
        <w:t>know that it presents the Bible from a critical standpoint, as it is authored by professors in biblical studies teaching in Western institution</w:t>
      </w:r>
      <w:r w:rsidR="00236183">
        <w:t>s</w:t>
      </w:r>
      <w:r w:rsidR="00F047AB">
        <w:t xml:space="preserve">—confessional and secular—who </w:t>
      </w:r>
      <w:r w:rsidR="00221E67">
        <w:t>embrace critical methods</w:t>
      </w:r>
      <w:r w:rsidR="00236183">
        <w:t xml:space="preserve"> </w:t>
      </w:r>
      <w:r w:rsidR="00995D25">
        <w:t xml:space="preserve">widely </w:t>
      </w:r>
      <w:r w:rsidR="00236183">
        <w:t xml:space="preserve">used in </w:t>
      </w:r>
      <w:r w:rsidR="00221E67">
        <w:t xml:space="preserve">the </w:t>
      </w:r>
      <w:r w:rsidR="00236183">
        <w:t xml:space="preserve">Western </w:t>
      </w:r>
      <w:r w:rsidR="00221E67">
        <w:t>academy</w:t>
      </w:r>
      <w:r w:rsidR="00236183">
        <w:t xml:space="preserve">. Yet </w:t>
      </w:r>
      <w:r w:rsidR="00221E67">
        <w:rPr>
          <w:i/>
          <w:iCs/>
        </w:rPr>
        <w:t xml:space="preserve">The </w:t>
      </w:r>
      <w:r w:rsidR="00236183">
        <w:rPr>
          <w:i/>
          <w:iCs/>
        </w:rPr>
        <w:t xml:space="preserve">Study Quran </w:t>
      </w:r>
      <w:r w:rsidR="00E243CE">
        <w:t xml:space="preserve">categorically rejects </w:t>
      </w:r>
      <w:r w:rsidR="00236183">
        <w:t xml:space="preserve">these </w:t>
      </w:r>
      <w:r w:rsidR="00E243CE">
        <w:t xml:space="preserve">well-established methods. </w:t>
      </w:r>
      <w:r w:rsidR="00995D25">
        <w:t xml:space="preserve">In the preface of </w:t>
      </w:r>
      <w:r w:rsidR="00221E67">
        <w:rPr>
          <w:i/>
          <w:iCs/>
        </w:rPr>
        <w:t>The Study Quran</w:t>
      </w:r>
      <w:r w:rsidR="00E243CE">
        <w:t xml:space="preserve">, </w:t>
      </w:r>
      <w:r w:rsidR="00995D25">
        <w:t xml:space="preserve">the editor-in-chief </w:t>
      </w:r>
      <w:proofErr w:type="spellStart"/>
      <w:r w:rsidR="00E243CE">
        <w:t>Seyyed</w:t>
      </w:r>
      <w:proofErr w:type="spellEnd"/>
      <w:r w:rsidR="00E243CE">
        <w:t xml:space="preserve"> Hossein Nasr </w:t>
      </w:r>
      <w:r w:rsidR="00995D25">
        <w:t xml:space="preserve">takes credit </w:t>
      </w:r>
      <w:r w:rsidR="00221E67">
        <w:t>for this outcome</w:t>
      </w:r>
      <w:r w:rsidR="00236183">
        <w:t xml:space="preserve">: </w:t>
      </w:r>
    </w:p>
    <w:p w14:paraId="436CE946" w14:textId="21DA6A58" w:rsidR="00995D25" w:rsidRDefault="00B82819" w:rsidP="00441947">
      <w:pPr>
        <w:spacing w:line="480" w:lineRule="auto"/>
        <w:ind w:left="142"/>
        <w:jc w:val="both"/>
      </w:pPr>
      <w:r>
        <w:t xml:space="preserve">I therefore accepted with humility on the condition that this would be a </w:t>
      </w:r>
      <w:r>
        <w:rPr>
          <w:i/>
          <w:iCs/>
        </w:rPr>
        <w:t xml:space="preserve">Muslim </w:t>
      </w:r>
      <w:r>
        <w:t xml:space="preserve">effort and that, although the book would be contemporary in language and based on the highest level of scholarship, it would </w:t>
      </w:r>
      <w:r>
        <w:rPr>
          <w:i/>
          <w:iCs/>
        </w:rPr>
        <w:t xml:space="preserve">not </w:t>
      </w:r>
      <w:r>
        <w:t>be determined or guided by assertions presented in studies by non-Muslim Western scholars and orientalists who have studied the Quran profusely as a historical, linguistic, or soci</w:t>
      </w:r>
      <w:r w:rsidR="005A63BC">
        <w:t>ological document, or even a tex</w:t>
      </w:r>
      <w:r>
        <w:t>t of religious significance, or do not accept it as the Word of God and an authentic revelation.</w:t>
      </w:r>
      <w:r>
        <w:rPr>
          <w:rStyle w:val="FootnoteReference"/>
        </w:rPr>
        <w:footnoteReference w:id="33"/>
      </w:r>
      <w:r>
        <w:t xml:space="preserve"> </w:t>
      </w:r>
    </w:p>
    <w:p w14:paraId="1BACF617" w14:textId="7C2E71F1" w:rsidR="003B0D77" w:rsidRDefault="00B82819" w:rsidP="00441947">
      <w:pPr>
        <w:spacing w:line="480" w:lineRule="auto"/>
        <w:ind w:firstLine="720"/>
        <w:jc w:val="both"/>
      </w:pPr>
      <w:r>
        <w:lastRenderedPageBreak/>
        <w:t xml:space="preserve">For these reasons, Nasr adds, “I only chose Muslim scholars to collaborate with me in this task.” </w:t>
      </w:r>
      <w:r w:rsidR="004151DB">
        <w:t xml:space="preserve">However, </w:t>
      </w:r>
      <w:r w:rsidR="00460FC5">
        <w:t xml:space="preserve">he </w:t>
      </w:r>
      <w:r w:rsidR="004151DB">
        <w:t xml:space="preserve">then </w:t>
      </w:r>
      <w:r>
        <w:t xml:space="preserve">states: “At the same time, I did not want the work to be confined or limited </w:t>
      </w:r>
      <w:proofErr w:type="spellStart"/>
      <w:r>
        <w:t>confessionally</w:t>
      </w:r>
      <w:proofErr w:type="spellEnd"/>
      <w:r>
        <w:t>, ethnically, or geographically. It was to be universal and at the same time traditional, that is, expressing traditional Islamic views and therefore excluding modernistic or fundamentalist interpretations that have appeared in parts of Islamic world during the past two centuries.”</w:t>
      </w:r>
      <w:r w:rsidR="001F416F">
        <w:rPr>
          <w:rStyle w:val="FootnoteReference"/>
        </w:rPr>
        <w:footnoteReference w:id="34"/>
      </w:r>
      <w:r>
        <w:t xml:space="preserve"> </w:t>
      </w:r>
      <w:r w:rsidR="004151DB">
        <w:t>Unfortunately</w:t>
      </w:r>
      <w:r w:rsidR="003B0D77">
        <w:t xml:space="preserve">, Nasr </w:t>
      </w:r>
      <w:r w:rsidR="004151DB">
        <w:t xml:space="preserve">also </w:t>
      </w:r>
      <w:r w:rsidR="003B0D77">
        <w:t xml:space="preserve">resorts to </w:t>
      </w:r>
      <w:r w:rsidR="003B0D77">
        <w:rPr>
          <w:i/>
          <w:iCs/>
        </w:rPr>
        <w:t>ad hominem</w:t>
      </w:r>
      <w:r w:rsidR="003B0D77">
        <w:t xml:space="preserve"> </w:t>
      </w:r>
      <w:r w:rsidR="004151DB">
        <w:t xml:space="preserve">remarks </w:t>
      </w:r>
      <w:r w:rsidR="003B0D77">
        <w:t xml:space="preserve">to describe scholarship that does not align with his theological </w:t>
      </w:r>
      <w:r w:rsidR="005A63BC">
        <w:t>convictions</w:t>
      </w:r>
      <w:r w:rsidR="003B0D77">
        <w:t xml:space="preserve">: </w:t>
      </w:r>
    </w:p>
    <w:p w14:paraId="55699823" w14:textId="77777777" w:rsidR="003B0D77" w:rsidRPr="00221E67" w:rsidRDefault="003B0D77" w:rsidP="00DB65C0">
      <w:pPr>
        <w:spacing w:line="480" w:lineRule="auto"/>
        <w:ind w:left="283"/>
        <w:jc w:val="both"/>
        <w:rPr>
          <w:szCs w:val="24"/>
        </w:rPr>
      </w:pPr>
      <w:r w:rsidRPr="00221E67">
        <w:rPr>
          <w:szCs w:val="24"/>
        </w:rPr>
        <w:t>Although we have relied heavily upon traditional sources, which are the mainstay of our translation and commentary, we have also consulted reliable sources based on both previous and recent academic scholarship in Qur</w:t>
      </w:r>
      <w:r w:rsidR="00C96173">
        <w:rPr>
          <w:szCs w:val="24"/>
        </w:rPr>
        <w:t>’</w:t>
      </w:r>
      <w:r w:rsidRPr="00221E67">
        <w:rPr>
          <w:szCs w:val="24"/>
        </w:rPr>
        <w:t>anic studies. We have, moreover, carried out this task with constant awareness of the biases and fashions present in both historical and contemporary writings about the Qur</w:t>
      </w:r>
      <w:r w:rsidR="00C96173">
        <w:rPr>
          <w:szCs w:val="24"/>
        </w:rPr>
        <w:t>’</w:t>
      </w:r>
      <w:r w:rsidRPr="00221E67">
        <w:rPr>
          <w:szCs w:val="24"/>
        </w:rPr>
        <w:t>an. We have been fully aware that many of these resources suffer, from the Islamic point of view, from the fact that they do not accept the Quran as revelation, they have a truncated view of the Islamic intellectual tradition, or they reject the Islamic worldview as a whole. In some extreme cases, such sources are based on either thinly veiled or sometimes outright hostility toward Islam and are often grounded in very questionable theories and published for the sake of wor</w:t>
      </w:r>
      <w:r w:rsidR="001659CC" w:rsidRPr="00221E67">
        <w:rPr>
          <w:szCs w:val="24"/>
        </w:rPr>
        <w:t>ldly ends, such as gaining fame or furthering academic careers.</w:t>
      </w:r>
      <w:r w:rsidR="001659CC" w:rsidRPr="00221E67">
        <w:rPr>
          <w:rStyle w:val="FootnoteReference"/>
          <w:szCs w:val="24"/>
        </w:rPr>
        <w:footnoteReference w:id="35"/>
      </w:r>
    </w:p>
    <w:p w14:paraId="4EFE5101" w14:textId="773B2082" w:rsidR="00E26C46" w:rsidRPr="005F63D8" w:rsidRDefault="005A63BC" w:rsidP="00441947">
      <w:pPr>
        <w:spacing w:line="480" w:lineRule="auto"/>
        <w:ind w:firstLine="720"/>
        <w:jc w:val="both"/>
      </w:pPr>
      <w:r>
        <w:t>Given these pronouncements, i</w:t>
      </w:r>
      <w:r w:rsidR="001F416F">
        <w:t>t is not surprising</w:t>
      </w:r>
      <w:r>
        <w:t xml:space="preserve"> </w:t>
      </w:r>
      <w:r w:rsidR="001F416F">
        <w:t xml:space="preserve">that </w:t>
      </w:r>
      <w:r w:rsidR="00E26C46">
        <w:rPr>
          <w:i/>
          <w:iCs/>
        </w:rPr>
        <w:t xml:space="preserve">The </w:t>
      </w:r>
      <w:r w:rsidR="001F416F">
        <w:rPr>
          <w:i/>
          <w:iCs/>
        </w:rPr>
        <w:t xml:space="preserve">Study Quran </w:t>
      </w:r>
      <w:r w:rsidR="001F416F">
        <w:t xml:space="preserve">does not </w:t>
      </w:r>
      <w:r w:rsidR="005F63D8">
        <w:t xml:space="preserve">include </w:t>
      </w:r>
      <w:r w:rsidR="001F416F">
        <w:t xml:space="preserve">one </w:t>
      </w:r>
      <w:r w:rsidR="004151DB">
        <w:t xml:space="preserve">single </w:t>
      </w:r>
      <w:r w:rsidR="001F416F">
        <w:t xml:space="preserve">article that deals with the </w:t>
      </w:r>
      <w:proofErr w:type="spellStart"/>
      <w:r w:rsidR="001F416F">
        <w:t>the</w:t>
      </w:r>
      <w:proofErr w:type="spellEnd"/>
      <w:r w:rsidR="001F416F">
        <w:t xml:space="preserve"> Qur</w:t>
      </w:r>
      <w:r>
        <w:t>’</w:t>
      </w:r>
      <w:r w:rsidR="001F416F">
        <w:t>an</w:t>
      </w:r>
      <w:r w:rsidR="00460FC5">
        <w:t>’s historical context in Late Antiquity</w:t>
      </w:r>
      <w:r w:rsidR="001F416F">
        <w:t xml:space="preserve">, its Jewish-Christian milieu, Byzantine, Abyssinian, or Persian contours, </w:t>
      </w:r>
      <w:r w:rsidR="004151DB">
        <w:t xml:space="preserve">or </w:t>
      </w:r>
      <w:r w:rsidR="005F63D8">
        <w:t xml:space="preserve">possible Zoroastrian contacts, </w:t>
      </w:r>
      <w:r w:rsidR="005F63D8">
        <w:lastRenderedPageBreak/>
        <w:t xml:space="preserve">although it </w:t>
      </w:r>
      <w:r w:rsidR="00221E67">
        <w:t xml:space="preserve">contains numerous informative essays that </w:t>
      </w:r>
      <w:r w:rsidR="005F63D8">
        <w:t xml:space="preserve">present Islamic views deemed proper by its editors on </w:t>
      </w:r>
      <w:r w:rsidR="00221E67">
        <w:t>the Qur</w:t>
      </w:r>
      <w:r w:rsidR="00967E3D">
        <w:t>’</w:t>
      </w:r>
      <w:r w:rsidR="00221E67">
        <w:t>an, Islamic Law, ethics, the afterlife, and the like</w:t>
      </w:r>
      <w:r w:rsidR="005F63D8">
        <w:t>.</w:t>
      </w:r>
      <w:r w:rsidR="00221E67">
        <w:t xml:space="preserve"> </w:t>
      </w:r>
      <w:r w:rsidR="005F63D8">
        <w:t xml:space="preserve">The edition does not </w:t>
      </w:r>
      <w:r w:rsidR="00221E67">
        <w:t xml:space="preserve">engage in any kind of comparative </w:t>
      </w:r>
      <w:r w:rsidR="005F63D8">
        <w:t xml:space="preserve">critical </w:t>
      </w:r>
      <w:r w:rsidR="00221E67">
        <w:t xml:space="preserve">religious analysis. Instead, the opening essay, “How to Read the Quran,” supplies the reader, Muslim or other, with </w:t>
      </w:r>
      <w:r w:rsidR="005F63D8">
        <w:t xml:space="preserve">the proper instructions </w:t>
      </w:r>
      <w:r w:rsidR="00221E67">
        <w:t>on how the Qur</w:t>
      </w:r>
      <w:r w:rsidR="00C96173">
        <w:t>’</w:t>
      </w:r>
      <w:r w:rsidR="00221E67">
        <w:t xml:space="preserve">an </w:t>
      </w:r>
      <w:r w:rsidR="00221E67" w:rsidRPr="00E26C46">
        <w:rPr>
          <w:i/>
          <w:iCs/>
        </w:rPr>
        <w:t>ought</w:t>
      </w:r>
      <w:r w:rsidR="00221E67">
        <w:t xml:space="preserve"> to be read, concerned as it is with the depiction of Islam in the West, on the one hand, and Islamic fundamentalism and sectarianism on the other.</w:t>
      </w:r>
      <w:r w:rsidR="005F63D8">
        <w:t xml:space="preserve"> </w:t>
      </w:r>
      <w:r w:rsidR="001F416F">
        <w:t xml:space="preserve">The extensive commentary on each surah selectively </w:t>
      </w:r>
      <w:r w:rsidR="001076EF">
        <w:t xml:space="preserve">draws from medieval Islamic commentaries and texts </w:t>
      </w:r>
      <w:r w:rsidR="001F416F">
        <w:t xml:space="preserve">but </w:t>
      </w:r>
      <w:r w:rsidR="001076EF">
        <w:t xml:space="preserve">almost wholly ignores </w:t>
      </w:r>
      <w:r w:rsidR="001F416F">
        <w:t xml:space="preserve">biblical, Second Temple, rabbinic, patristic, and other </w:t>
      </w:r>
      <w:r w:rsidR="00EA1C88">
        <w:t>L</w:t>
      </w:r>
      <w:r w:rsidR="001F416F">
        <w:t xml:space="preserve">ate </w:t>
      </w:r>
      <w:r w:rsidR="00EA1C88">
        <w:t>A</w:t>
      </w:r>
      <w:r w:rsidR="001F416F">
        <w:t xml:space="preserve">ntique </w:t>
      </w:r>
      <w:r w:rsidR="001076EF">
        <w:t>sources</w:t>
      </w:r>
      <w:r w:rsidR="005F63D8">
        <w:t xml:space="preserve">. </w:t>
      </w:r>
      <w:r w:rsidR="001076EF">
        <w:t>T</w:t>
      </w:r>
      <w:r w:rsidR="004151DB">
        <w:t xml:space="preserve">he project of </w:t>
      </w:r>
      <w:r w:rsidR="001076EF">
        <w:rPr>
          <w:i/>
          <w:iCs/>
        </w:rPr>
        <w:t xml:space="preserve">The Study Quran </w:t>
      </w:r>
      <w:r w:rsidR="004151DB">
        <w:t xml:space="preserve">leaves one wondering how it really differs </w:t>
      </w:r>
      <w:r w:rsidR="001076EF">
        <w:t>i</w:t>
      </w:r>
      <w:r w:rsidR="004151DB">
        <w:t xml:space="preserve">n its methodological approach from other </w:t>
      </w:r>
      <w:r w:rsidR="005F63D8">
        <w:t xml:space="preserve">traditionalist </w:t>
      </w:r>
      <w:r w:rsidR="005752DC">
        <w:t xml:space="preserve">translations of the Quran such as </w:t>
      </w:r>
      <w:r w:rsidR="005F63D8">
        <w:t xml:space="preserve">the Saudi-sponsored edition by </w:t>
      </w:r>
      <w:r w:rsidR="00441947" w:rsidRPr="00B56595">
        <w:t xml:space="preserve">Muhammad Muhsin Khan and Muhammad </w:t>
      </w:r>
      <w:proofErr w:type="spellStart"/>
      <w:r w:rsidR="00441947" w:rsidRPr="00B56595">
        <w:t>Taqi</w:t>
      </w:r>
      <w:proofErr w:type="spellEnd"/>
      <w:r w:rsidR="00441947" w:rsidRPr="00B56595">
        <w:t>-</w:t>
      </w:r>
      <w:proofErr w:type="spellStart"/>
      <w:r w:rsidR="00441947" w:rsidRPr="00B56595">
        <w:t>ud</w:t>
      </w:r>
      <w:proofErr w:type="spellEnd"/>
      <w:r w:rsidR="00441947" w:rsidRPr="00B56595">
        <w:t>-Din Al-</w:t>
      </w:r>
      <w:proofErr w:type="spellStart"/>
      <w:r w:rsidR="00441947" w:rsidRPr="00B56595">
        <w:t>Hilali</w:t>
      </w:r>
      <w:proofErr w:type="spellEnd"/>
      <w:r w:rsidR="005F63D8">
        <w:t xml:space="preserve">, </w:t>
      </w:r>
      <w:r w:rsidR="005752DC">
        <w:t xml:space="preserve">as </w:t>
      </w:r>
      <w:r w:rsidR="005F63D8">
        <w:t xml:space="preserve">both </w:t>
      </w:r>
      <w:r w:rsidR="00DA66E8">
        <w:t>navigate through traditional sources</w:t>
      </w:r>
      <w:r w:rsidR="005F63D8">
        <w:t xml:space="preserve">, each </w:t>
      </w:r>
      <w:r w:rsidR="00DA66E8">
        <w:t xml:space="preserve">one </w:t>
      </w:r>
      <w:r w:rsidR="005F63D8">
        <w:t>extracting from the</w:t>
      </w:r>
      <w:r w:rsidR="00DA66E8">
        <w:t xml:space="preserve"> bottom of the sea </w:t>
      </w:r>
      <w:r w:rsidR="005F63D8">
        <w:t xml:space="preserve">those </w:t>
      </w:r>
      <w:r w:rsidR="005752DC">
        <w:t xml:space="preserve">materials </w:t>
      </w:r>
      <w:r w:rsidR="005F63D8">
        <w:t xml:space="preserve">that prove </w:t>
      </w:r>
      <w:r w:rsidR="005752DC">
        <w:t xml:space="preserve">most </w:t>
      </w:r>
      <w:r w:rsidR="005F63D8">
        <w:t xml:space="preserve">congenial to their theological </w:t>
      </w:r>
      <w:r w:rsidR="001076EF">
        <w:t>expeditions</w:t>
      </w:r>
      <w:r w:rsidR="00C828AA">
        <w:t xml:space="preserve">, one </w:t>
      </w:r>
      <w:r w:rsidR="005752DC">
        <w:t>ecumenical</w:t>
      </w:r>
      <w:r w:rsidR="00C828AA">
        <w:t>, the other exclusivist</w:t>
      </w:r>
      <w:r w:rsidR="005F63D8">
        <w:t>.</w:t>
      </w:r>
      <w:r w:rsidR="005F63D8">
        <w:rPr>
          <w:rStyle w:val="FootnoteReference"/>
        </w:rPr>
        <w:footnoteReference w:id="36"/>
      </w:r>
    </w:p>
    <w:p w14:paraId="0D76687C" w14:textId="617D92FC" w:rsidR="004629D6" w:rsidRDefault="004D7437" w:rsidP="00441947">
      <w:pPr>
        <w:spacing w:line="480" w:lineRule="auto"/>
        <w:ind w:firstLine="720"/>
        <w:jc w:val="both"/>
      </w:pPr>
      <w:r>
        <w:t xml:space="preserve">Many </w:t>
      </w:r>
      <w:r w:rsidR="0049594E">
        <w:t xml:space="preserve">of the </w:t>
      </w:r>
      <w:r w:rsidR="003B4F46">
        <w:t xml:space="preserve">works </w:t>
      </w:r>
      <w:r w:rsidR="0049594E">
        <w:t xml:space="preserve">assessed above </w:t>
      </w:r>
      <w:r w:rsidR="003B4F46">
        <w:t xml:space="preserve">are valuable resources for they </w:t>
      </w:r>
      <w:r w:rsidR="0049594E">
        <w:t>can challenge</w:t>
      </w:r>
      <w:r w:rsidR="003B4F46">
        <w:t xml:space="preserve"> </w:t>
      </w:r>
      <w:r w:rsidR="0049594E">
        <w:t xml:space="preserve">non-Muslims </w:t>
      </w:r>
      <w:r w:rsidR="00460FC5">
        <w:t>unfamiliar</w:t>
      </w:r>
      <w:r w:rsidR="0049594E">
        <w:t xml:space="preserve"> with Islam </w:t>
      </w:r>
      <w:r w:rsidR="003B4F46">
        <w:t xml:space="preserve">to appreciate </w:t>
      </w:r>
      <w:r w:rsidR="0049594E">
        <w:t xml:space="preserve">its </w:t>
      </w:r>
      <w:r w:rsidR="003B4F46">
        <w:t>complexity and diversity.</w:t>
      </w:r>
      <w:r>
        <w:t xml:space="preserve"> </w:t>
      </w:r>
      <w:r w:rsidR="003B4F46">
        <w:rPr>
          <w:i/>
          <w:iCs/>
        </w:rPr>
        <w:t xml:space="preserve">The Study Quran </w:t>
      </w:r>
      <w:r w:rsidR="005752DC">
        <w:t xml:space="preserve">excels </w:t>
      </w:r>
      <w:r>
        <w:t xml:space="preserve">in this regard </w:t>
      </w:r>
      <w:r w:rsidR="005752DC">
        <w:t xml:space="preserve">more than any other preceding translation, </w:t>
      </w:r>
      <w:r w:rsidR="003B4F46">
        <w:t xml:space="preserve">making </w:t>
      </w:r>
      <w:r w:rsidR="002402DE">
        <w:t xml:space="preserve">readily </w:t>
      </w:r>
      <w:r w:rsidR="003B4F46">
        <w:t xml:space="preserve">available </w:t>
      </w:r>
      <w:r>
        <w:t>to the non-</w:t>
      </w:r>
      <w:proofErr w:type="spellStart"/>
      <w:r>
        <w:t>Arabist</w:t>
      </w:r>
      <w:proofErr w:type="spellEnd"/>
      <w:r>
        <w:t xml:space="preserve"> </w:t>
      </w:r>
      <w:r w:rsidR="005752DC">
        <w:t xml:space="preserve">an abundance of </w:t>
      </w:r>
      <w:r>
        <w:t xml:space="preserve">rich </w:t>
      </w:r>
      <w:r w:rsidR="002402DE">
        <w:t xml:space="preserve">insights </w:t>
      </w:r>
      <w:r w:rsidR="005752DC">
        <w:t xml:space="preserve">stemming </w:t>
      </w:r>
      <w:r w:rsidR="002402DE">
        <w:t xml:space="preserve">from </w:t>
      </w:r>
      <w:r w:rsidR="000F43F6">
        <w:t xml:space="preserve">Islamic tradition and </w:t>
      </w:r>
      <w:r w:rsidR="00C828AA" w:rsidRPr="00C828AA">
        <w:rPr>
          <w:i/>
          <w:iCs/>
        </w:rPr>
        <w:t>tafsir</w:t>
      </w:r>
      <w:r w:rsidR="000F43F6">
        <w:t xml:space="preserve">. Certainly, in the post-9/11 and current global context we live in, it is </w:t>
      </w:r>
      <w:r w:rsidR="002402DE">
        <w:t xml:space="preserve">important for specialists in religious studies </w:t>
      </w:r>
      <w:r w:rsidR="00C828AA">
        <w:t xml:space="preserve">and theologians alike </w:t>
      </w:r>
      <w:r w:rsidR="00120CA2">
        <w:t xml:space="preserve">to reflect on the </w:t>
      </w:r>
      <w:r w:rsidR="002402DE">
        <w:t xml:space="preserve">ethics of their scholarship </w:t>
      </w:r>
      <w:r>
        <w:t xml:space="preserve">and pedagogy, </w:t>
      </w:r>
      <w:r w:rsidR="002402DE">
        <w:t xml:space="preserve">particularly as </w:t>
      </w:r>
      <w:r>
        <w:t xml:space="preserve">they </w:t>
      </w:r>
      <w:r w:rsidR="002402DE">
        <w:t>relate to current politics</w:t>
      </w:r>
      <w:r w:rsidR="000F43F6">
        <w:t>.</w:t>
      </w:r>
      <w:r w:rsidR="002402DE">
        <w:t xml:space="preserve"> The specialist in religious studies, however, must also consider how to approach </w:t>
      </w:r>
      <w:r w:rsidR="003B4F46">
        <w:t xml:space="preserve">Islam in a manner that does not simply recite </w:t>
      </w:r>
      <w:r w:rsidR="00C828AA">
        <w:t>its creedal forms</w:t>
      </w:r>
      <w:r w:rsidR="00C656A3">
        <w:t xml:space="preserve">. Otherwise, to be consistent, one will have to present all other religions in the </w:t>
      </w:r>
      <w:r w:rsidR="00120CA2">
        <w:t xml:space="preserve">Western </w:t>
      </w:r>
      <w:r w:rsidR="00C656A3">
        <w:t xml:space="preserve">academy </w:t>
      </w:r>
      <w:r w:rsidR="00120CA2">
        <w:lastRenderedPageBreak/>
        <w:t xml:space="preserve">and classrooms </w:t>
      </w:r>
      <w:r w:rsidR="00C656A3">
        <w:t>in the same way. The Book of Mormon will have to be presented as a revelation given to Joseph Smith. Ellen G. White’s visions will be solely described as prophecy confirming Seventh-day Adventist belief.</w:t>
      </w:r>
      <w:r w:rsidR="00C656A3">
        <w:rPr>
          <w:rStyle w:val="FootnoteReference"/>
        </w:rPr>
        <w:footnoteReference w:id="37"/>
      </w:r>
      <w:r w:rsidR="00C656A3">
        <w:t xml:space="preserve"> </w:t>
      </w:r>
      <w:r w:rsidR="002402DE">
        <w:t xml:space="preserve"> </w:t>
      </w:r>
      <w:r w:rsidR="00120CA2">
        <w:t xml:space="preserve">It is evident, however, that for the discipline of religious studies to retain its academic integrity it must </w:t>
      </w:r>
      <w:r w:rsidR="00C828AA">
        <w:t xml:space="preserve">include </w:t>
      </w:r>
      <w:r w:rsidR="00120CA2">
        <w:t xml:space="preserve">all religions </w:t>
      </w:r>
      <w:r w:rsidR="003B4F46">
        <w:t xml:space="preserve">in the same </w:t>
      </w:r>
      <w:r w:rsidR="00C656A3">
        <w:t xml:space="preserve">type of </w:t>
      </w:r>
      <w:r w:rsidR="00C828AA">
        <w:t>open academic discussion, which include</w:t>
      </w:r>
      <w:r w:rsidR="000359BB">
        <w:t>s</w:t>
      </w:r>
      <w:r w:rsidR="00C828AA">
        <w:t xml:space="preserve"> the critical inquiry and investigation of canonical texts. </w:t>
      </w:r>
      <w:r w:rsidR="00587B46">
        <w:t xml:space="preserve">One could argue, furthermore, that </w:t>
      </w:r>
      <w:r w:rsidR="00120CA2">
        <w:t>refraining from critically examining the Qur</w:t>
      </w:r>
      <w:r w:rsidR="00C11067">
        <w:t>’</w:t>
      </w:r>
      <w:r w:rsidR="00120CA2">
        <w:t xml:space="preserve">an constitutes a </w:t>
      </w:r>
      <w:r w:rsidR="00587B46">
        <w:t xml:space="preserve">form of </w:t>
      </w:r>
      <w:r w:rsidR="00120CA2">
        <w:t xml:space="preserve">discrimination </w:t>
      </w:r>
      <w:r>
        <w:t>against Islam</w:t>
      </w:r>
      <w:r w:rsidR="00120CA2">
        <w:t xml:space="preserve">. It not only sets one religious tradition </w:t>
      </w:r>
      <w:r>
        <w:t>aside</w:t>
      </w:r>
      <w:r w:rsidR="00C656A3">
        <w:t xml:space="preserve"> methodologically</w:t>
      </w:r>
      <w:r>
        <w:t xml:space="preserve">, </w:t>
      </w:r>
      <w:r w:rsidR="00C656A3">
        <w:t xml:space="preserve">thereby </w:t>
      </w:r>
      <w:r>
        <w:t xml:space="preserve">perpetuating </w:t>
      </w:r>
      <w:r w:rsidR="00C656A3">
        <w:t xml:space="preserve">its </w:t>
      </w:r>
      <w:r>
        <w:t>alterity</w:t>
      </w:r>
      <w:r w:rsidR="00C656A3">
        <w:t xml:space="preserve">. </w:t>
      </w:r>
      <w:r w:rsidR="00120CA2">
        <w:t xml:space="preserve">It </w:t>
      </w:r>
      <w:r w:rsidR="00587B46">
        <w:t xml:space="preserve">may </w:t>
      </w:r>
      <w:r w:rsidR="00C656A3">
        <w:t xml:space="preserve">also unwittingly assume that </w:t>
      </w:r>
      <w:r w:rsidR="00120CA2">
        <w:t xml:space="preserve">the </w:t>
      </w:r>
      <w:r w:rsidR="00C656A3">
        <w:t xml:space="preserve">genius of Islam, unlike its Jewish and Christian counterparts, is too </w:t>
      </w:r>
      <w:r>
        <w:t xml:space="preserve">primitive to </w:t>
      </w:r>
      <w:r w:rsidR="00120CA2">
        <w:t xml:space="preserve">handle and </w:t>
      </w:r>
      <w:r w:rsidR="00C656A3">
        <w:t xml:space="preserve">assimilate </w:t>
      </w:r>
      <w:r>
        <w:t xml:space="preserve">the same level of critical </w:t>
      </w:r>
      <w:r w:rsidR="00120CA2">
        <w:t>scrutiny</w:t>
      </w:r>
      <w:r>
        <w:t xml:space="preserve">. </w:t>
      </w:r>
      <w:r w:rsidR="00ED284C">
        <w:t>T</w:t>
      </w:r>
      <w:r w:rsidR="004629D6">
        <w:t xml:space="preserve">here must </w:t>
      </w:r>
      <w:r w:rsidR="002D408C">
        <w:t xml:space="preserve">be </w:t>
      </w:r>
      <w:r w:rsidR="004629D6">
        <w:t xml:space="preserve">a way in the </w:t>
      </w:r>
      <w:r w:rsidR="00120CA2">
        <w:t xml:space="preserve">academic setting to handle </w:t>
      </w:r>
      <w:r w:rsidR="000359BB">
        <w:t xml:space="preserve">such a </w:t>
      </w:r>
      <w:r w:rsidR="00120CA2">
        <w:t xml:space="preserve">complex matter, to </w:t>
      </w:r>
      <w:r w:rsidR="002D408C">
        <w:t xml:space="preserve">contextualize while remaining appreciative, to question </w:t>
      </w:r>
      <w:r w:rsidR="000359BB">
        <w:t>while respecting</w:t>
      </w:r>
      <w:r w:rsidR="00120CA2">
        <w:t xml:space="preserve"> </w:t>
      </w:r>
      <w:r w:rsidR="00441947">
        <w:t xml:space="preserve">a given </w:t>
      </w:r>
      <w:r w:rsidR="000359BB">
        <w:t>culture</w:t>
      </w:r>
      <w:r w:rsidR="00120CA2">
        <w:t>.</w:t>
      </w:r>
      <w:r w:rsidR="002D408C">
        <w:t xml:space="preserve"> </w:t>
      </w:r>
    </w:p>
    <w:p w14:paraId="12931DB7" w14:textId="34BBAD07" w:rsidR="00712F42" w:rsidRDefault="0038494D" w:rsidP="00E7558A">
      <w:pPr>
        <w:spacing w:line="480" w:lineRule="auto"/>
        <w:ind w:firstLine="720"/>
        <w:jc w:val="both"/>
      </w:pPr>
      <w:r>
        <w:t xml:space="preserve">Fortunately, </w:t>
      </w:r>
      <w:r w:rsidR="003B4F46">
        <w:t xml:space="preserve">a few recent </w:t>
      </w:r>
      <w:r>
        <w:t xml:space="preserve">works </w:t>
      </w:r>
      <w:r w:rsidR="003B4F46">
        <w:t xml:space="preserve">of pedagogical </w:t>
      </w:r>
      <w:r w:rsidR="00470928">
        <w:t xml:space="preserve">use </w:t>
      </w:r>
      <w:r w:rsidR="003B4F46">
        <w:t xml:space="preserve">do not discriminate against </w:t>
      </w:r>
      <w:r>
        <w:t xml:space="preserve">Islam </w:t>
      </w:r>
      <w:r w:rsidR="003B4F46">
        <w:t>or the Qur</w:t>
      </w:r>
      <w:r w:rsidR="000359BB">
        <w:t>’</w:t>
      </w:r>
      <w:r w:rsidR="003B4F46">
        <w:t xml:space="preserve">an but </w:t>
      </w:r>
      <w:r w:rsidR="00470928">
        <w:t xml:space="preserve">approach </w:t>
      </w:r>
      <w:r w:rsidR="00BF53DB">
        <w:t xml:space="preserve">them </w:t>
      </w:r>
      <w:r w:rsidR="00470928">
        <w:t xml:space="preserve">in the same way other </w:t>
      </w:r>
      <w:r>
        <w:t>religio</w:t>
      </w:r>
      <w:r w:rsidR="00BF53DB">
        <w:t>us traditio</w:t>
      </w:r>
      <w:r>
        <w:t>n</w:t>
      </w:r>
      <w:r w:rsidR="00470928">
        <w:t>s are treated</w:t>
      </w:r>
      <w:r w:rsidR="003B4F46">
        <w:t>. The</w:t>
      </w:r>
      <w:r w:rsidR="00470928">
        <w:t>y</w:t>
      </w:r>
      <w:r w:rsidR="003B4F46">
        <w:t xml:space="preserve"> </w:t>
      </w:r>
      <w:r w:rsidR="00470928">
        <w:t xml:space="preserve">are particularly </w:t>
      </w:r>
      <w:r w:rsidR="003B4F46">
        <w:t>use</w:t>
      </w:r>
      <w:r w:rsidR="00470928">
        <w:t>ful</w:t>
      </w:r>
      <w:r w:rsidR="003B4F46">
        <w:t xml:space="preserve"> for those who wish to teach Islam </w:t>
      </w:r>
      <w:r w:rsidR="00470928">
        <w:t xml:space="preserve">within </w:t>
      </w:r>
      <w:r w:rsidR="00460FC5">
        <w:t xml:space="preserve">a </w:t>
      </w:r>
      <w:r w:rsidR="003B4F46">
        <w:t>comparative religion</w:t>
      </w:r>
      <w:r w:rsidR="00460FC5">
        <w:t xml:space="preserve"> context</w:t>
      </w:r>
      <w:r w:rsidR="00307B74">
        <w:t xml:space="preserve">, </w:t>
      </w:r>
      <w:r w:rsidR="003B4F46">
        <w:t xml:space="preserve">particularly </w:t>
      </w:r>
      <w:r w:rsidR="00307B74">
        <w:t xml:space="preserve">in conversation with Jewish and Christian traditions. Francis E. Peters’ </w:t>
      </w:r>
      <w:r w:rsidR="00307B74">
        <w:rPr>
          <w:i/>
          <w:iCs/>
        </w:rPr>
        <w:t>The Children of Abraham</w:t>
      </w:r>
      <w:r w:rsidR="00307B74">
        <w:t xml:space="preserve"> is certainly useful in this regard, though incomplete.</w:t>
      </w:r>
      <w:r w:rsidR="00307B74">
        <w:rPr>
          <w:rStyle w:val="FootnoteReference"/>
        </w:rPr>
        <w:footnoteReference w:id="38"/>
      </w:r>
      <w:r w:rsidR="00307B74">
        <w:t xml:space="preserve"> His pioneering initiative </w:t>
      </w:r>
      <w:r w:rsidR="00470928">
        <w:t>places the study</w:t>
      </w:r>
      <w:r w:rsidR="00A7560F">
        <w:t xml:space="preserve"> </w:t>
      </w:r>
      <w:r w:rsidR="00470928">
        <w:t xml:space="preserve">of </w:t>
      </w:r>
      <w:r w:rsidR="00307B74">
        <w:t xml:space="preserve">Islam alongside Judaism and Christianity. Moreover, Peters </w:t>
      </w:r>
      <w:r w:rsidR="00EF67F0">
        <w:t xml:space="preserve">presents to the general reader the challenges </w:t>
      </w:r>
      <w:r w:rsidR="00307B74">
        <w:t>affect</w:t>
      </w:r>
      <w:r w:rsidR="00EF67F0">
        <w:t>ing</w:t>
      </w:r>
      <w:r w:rsidR="00307B74">
        <w:t xml:space="preserve"> our </w:t>
      </w:r>
      <w:r w:rsidR="00EF67F0">
        <w:t xml:space="preserve">historical </w:t>
      </w:r>
      <w:r w:rsidR="00307B74">
        <w:t xml:space="preserve">understanding of </w:t>
      </w:r>
      <w:r w:rsidR="00A7560F">
        <w:t>each tradition</w:t>
      </w:r>
      <w:r w:rsidR="00307B74">
        <w:t xml:space="preserve">. </w:t>
      </w:r>
      <w:r w:rsidR="00460FC5">
        <w:t xml:space="preserve">When </w:t>
      </w:r>
      <w:r w:rsidR="00E7558A">
        <w:t>discussing</w:t>
      </w:r>
      <w:r w:rsidR="00460FC5">
        <w:t xml:space="preserve"> </w:t>
      </w:r>
      <w:r w:rsidR="00470928">
        <w:t xml:space="preserve">the founding figures of </w:t>
      </w:r>
      <w:r w:rsidR="00307B74">
        <w:t>Judaism</w:t>
      </w:r>
      <w:r w:rsidR="00470928">
        <w:t>, Peters soberly admits</w:t>
      </w:r>
      <w:r w:rsidR="00307B74">
        <w:t xml:space="preserve"> that the</w:t>
      </w:r>
      <w:r w:rsidR="00BD28D6">
        <w:t>ir</w:t>
      </w:r>
      <w:r w:rsidR="00307B74">
        <w:t xml:space="preserve"> lives </w:t>
      </w:r>
      <w:r w:rsidR="00BD28D6">
        <w:t>“</w:t>
      </w:r>
      <w:r w:rsidR="00307B74">
        <w:t xml:space="preserve">unfolded in </w:t>
      </w:r>
      <w:r w:rsidR="00307B74">
        <w:lastRenderedPageBreak/>
        <w:t>such remote antiquity that they are by now irretrievable</w:t>
      </w:r>
      <w:r w:rsidR="00A7560F">
        <w:t>.</w:t>
      </w:r>
      <w:r w:rsidR="00307B74">
        <w:t>”</w:t>
      </w:r>
      <w:r w:rsidR="00A7560F">
        <w:rPr>
          <w:rStyle w:val="FootnoteReference"/>
        </w:rPr>
        <w:footnoteReference w:id="39"/>
      </w:r>
      <w:r w:rsidR="00307B74">
        <w:t xml:space="preserve"> The Talmud</w:t>
      </w:r>
      <w:r w:rsidR="00EF67F0">
        <w:t xml:space="preserve"> </w:t>
      </w:r>
      <w:r w:rsidR="00307B74">
        <w:t>is but a compilation of “disjointed utterance</w:t>
      </w:r>
      <w:r w:rsidR="00A7560F">
        <w:t>s</w:t>
      </w:r>
      <w:r w:rsidR="00307B74">
        <w:t xml:space="preserve"> and judgments that provide flavor and personality but are poor makings for biography</w:t>
      </w:r>
      <w:r w:rsidR="00A7560F">
        <w:t>.</w:t>
      </w:r>
      <w:r w:rsidR="00307B74">
        <w:t>”</w:t>
      </w:r>
      <w:r w:rsidR="00A7560F">
        <w:rPr>
          <w:rStyle w:val="FootnoteReference"/>
        </w:rPr>
        <w:footnoteReference w:id="40"/>
      </w:r>
      <w:r w:rsidR="00307B74">
        <w:t xml:space="preserve"> If </w:t>
      </w:r>
      <w:r w:rsidR="00BD28D6">
        <w:t xml:space="preserve">on the other hand </w:t>
      </w:r>
      <w:r w:rsidR="00307B74">
        <w:t xml:space="preserve">the careers of Jesus and Muhammad are bathed in a discernible historical light, </w:t>
      </w:r>
      <w:r w:rsidR="000F43F6">
        <w:t xml:space="preserve">Peters remarks that </w:t>
      </w:r>
      <w:r w:rsidR="00307B74">
        <w:t xml:space="preserve">they are also embellished with legends. </w:t>
      </w:r>
      <w:r w:rsidR="00BD28D6">
        <w:t xml:space="preserve">The Qur’an, furthermore, contains on </w:t>
      </w:r>
      <w:r w:rsidR="00307B74">
        <w:t>almost every page material that can be described as “biblical,” leading to the sensible conclusion “that some Jewish or Christian, or perhaps Jewish-Christian, influence wat at work</w:t>
      </w:r>
      <w:r w:rsidR="00A7560F">
        <w:t>.</w:t>
      </w:r>
      <w:r w:rsidR="00307B74">
        <w:t>”</w:t>
      </w:r>
      <w:r w:rsidR="00A7560F">
        <w:rPr>
          <w:rStyle w:val="FootnoteReference"/>
        </w:rPr>
        <w:footnoteReference w:id="41"/>
      </w:r>
      <w:r w:rsidR="00307B74">
        <w:t xml:space="preserve"> Peters is aware that such a position would clash with the Muslim belief that “Muhammad enjoyed an absolute originality, remote from either texts or informants, and was in communication with God alone</w:t>
      </w:r>
      <w:r w:rsidR="00A7560F">
        <w:t>.</w:t>
      </w:r>
      <w:r w:rsidR="00307B74">
        <w:t>”</w:t>
      </w:r>
      <w:r w:rsidR="00A7560F">
        <w:rPr>
          <w:rStyle w:val="FootnoteReference"/>
        </w:rPr>
        <w:footnoteReference w:id="42"/>
      </w:r>
      <w:r w:rsidR="00307B74">
        <w:t xml:space="preserve"> Yet as Peters notes, this position only raises the same issue in a different form: how could the Meccans of the early seventh century have been so familiar with the Qur</w:t>
      </w:r>
      <w:r w:rsidR="00967E3D">
        <w:t>’</w:t>
      </w:r>
      <w:r w:rsidR="00307B74">
        <w:t xml:space="preserve">an’s opaque allusions to Moses, Abraham, and Jesus without some knowledge about biblical material and related </w:t>
      </w:r>
      <w:r w:rsidR="00AD7D55">
        <w:t>material</w:t>
      </w:r>
      <w:r w:rsidR="00307B74">
        <w:t>? The question is particularly acute</w:t>
      </w:r>
      <w:r w:rsidR="00A323C0">
        <w:t xml:space="preserve"> </w:t>
      </w:r>
      <w:r w:rsidR="00307B74">
        <w:t xml:space="preserve">in the case of </w:t>
      </w:r>
      <w:r w:rsidR="00EF67F0">
        <w:t xml:space="preserve">Q </w:t>
      </w:r>
      <w:r w:rsidR="00307B74">
        <w:t>19</w:t>
      </w:r>
      <w:r w:rsidR="00E7558A">
        <w:t xml:space="preserve"> (passage discussed above)</w:t>
      </w:r>
      <w:r w:rsidR="00307B74">
        <w:t>, traditionally identified as “Meccan</w:t>
      </w:r>
      <w:r w:rsidR="00CF08EE">
        <w:t>.</w:t>
      </w:r>
      <w:r w:rsidR="00307B74">
        <w:t xml:space="preserve">” </w:t>
      </w:r>
      <w:r w:rsidR="00CF08EE">
        <w:t>Peters</w:t>
      </w:r>
      <w:r w:rsidR="00A323C0">
        <w:t>’</w:t>
      </w:r>
      <w:r w:rsidR="00CF08EE">
        <w:t xml:space="preserve"> answer to this dilemma</w:t>
      </w:r>
      <w:r w:rsidR="00307B74">
        <w:t xml:space="preserve"> </w:t>
      </w:r>
      <w:r w:rsidR="00CF08EE">
        <w:t>remains somewhat elusive</w:t>
      </w:r>
      <w:r w:rsidR="00EF67F0">
        <w:t>, however</w:t>
      </w:r>
      <w:r w:rsidR="00307B74">
        <w:t>. He suggests that the historian</w:t>
      </w:r>
      <w:r w:rsidR="00CF08EE">
        <w:t xml:space="preserve"> </w:t>
      </w:r>
      <w:r w:rsidR="00307B74">
        <w:t>proceed cautiously with the Qur</w:t>
      </w:r>
      <w:r w:rsidR="00440494">
        <w:t>’</w:t>
      </w:r>
      <w:r w:rsidR="00307B74">
        <w:t xml:space="preserve">an in hand. Yet </w:t>
      </w:r>
      <w:r w:rsidR="00A323C0">
        <w:t xml:space="preserve">his </w:t>
      </w:r>
      <w:r w:rsidR="00CF08EE">
        <w:t xml:space="preserve">historical </w:t>
      </w:r>
      <w:r w:rsidR="00307B74">
        <w:t>presentation</w:t>
      </w:r>
      <w:r w:rsidR="00CF08EE">
        <w:t xml:space="preserve"> remains based on the traditional understanding of the Qur</w:t>
      </w:r>
      <w:r w:rsidR="00440494">
        <w:t>’</w:t>
      </w:r>
      <w:r w:rsidR="00CF08EE">
        <w:t>an as a text stemming from Muhammad.</w:t>
      </w:r>
      <w:r w:rsidR="00307B74">
        <w:rPr>
          <w:rStyle w:val="FootnoteReference"/>
        </w:rPr>
        <w:footnoteReference w:id="43"/>
      </w:r>
      <w:r w:rsidR="00307B74">
        <w:t xml:space="preserve"> </w:t>
      </w:r>
    </w:p>
    <w:p w14:paraId="30E79F97" w14:textId="52F7F816" w:rsidR="00AD1215" w:rsidRDefault="00307B74" w:rsidP="00067F72">
      <w:pPr>
        <w:spacing w:line="480" w:lineRule="auto"/>
        <w:ind w:firstLine="720"/>
        <w:jc w:val="both"/>
      </w:pPr>
      <w:r>
        <w:t xml:space="preserve">Two more recent introductory books </w:t>
      </w:r>
      <w:r w:rsidR="00067F72">
        <w:t>finely present</w:t>
      </w:r>
      <w:r>
        <w:t xml:space="preserve"> Islam </w:t>
      </w:r>
      <w:r w:rsidR="00F10575">
        <w:t xml:space="preserve">using methods </w:t>
      </w:r>
      <w:r w:rsidR="00CF08EE">
        <w:t xml:space="preserve">and theories drawn from </w:t>
      </w:r>
      <w:r w:rsidR="00EF67F0">
        <w:t xml:space="preserve">religious studies, </w:t>
      </w:r>
      <w:r w:rsidR="00CF08EE">
        <w:t>historical analysis</w:t>
      </w:r>
      <w:r w:rsidR="00F10575">
        <w:t xml:space="preserve">, Near Eastern studies, archaeology, and other </w:t>
      </w:r>
      <w:r w:rsidR="00F10575">
        <w:lastRenderedPageBreak/>
        <w:t xml:space="preserve">cognate disciplines. Aaron W. Hughes’ </w:t>
      </w:r>
      <w:r w:rsidR="00F10575">
        <w:rPr>
          <w:i/>
          <w:iCs/>
        </w:rPr>
        <w:t xml:space="preserve">Muslim Identities </w:t>
      </w:r>
      <w:r w:rsidR="00AD7D55">
        <w:t xml:space="preserve">shows respect for </w:t>
      </w:r>
      <w:r w:rsidR="00D965F7">
        <w:t xml:space="preserve">the great </w:t>
      </w:r>
      <w:r w:rsidR="00F10575">
        <w:t xml:space="preserve">complexity </w:t>
      </w:r>
      <w:r w:rsidR="00AD7D55">
        <w:t xml:space="preserve">and diversity </w:t>
      </w:r>
      <w:r w:rsidR="00D965F7">
        <w:t xml:space="preserve">of Islam </w:t>
      </w:r>
      <w:r w:rsidR="00AD7D55">
        <w:t xml:space="preserve">without compromising the </w:t>
      </w:r>
      <w:r w:rsidR="00CF08EE">
        <w:t xml:space="preserve">endeavor </w:t>
      </w:r>
      <w:r w:rsidR="00D965F7">
        <w:t xml:space="preserve">to present </w:t>
      </w:r>
      <w:r w:rsidR="00AD7D55">
        <w:t xml:space="preserve">it </w:t>
      </w:r>
      <w:r w:rsidR="00D965F7">
        <w:t xml:space="preserve">as a phenomenon grounded in history and human existence. The strength of this work lies in its theoretical sophistication and </w:t>
      </w:r>
      <w:r w:rsidR="00EF67F0">
        <w:t xml:space="preserve">emphasis </w:t>
      </w:r>
      <w:r w:rsidR="00D965F7">
        <w:t xml:space="preserve">on the </w:t>
      </w:r>
      <w:r w:rsidR="00692750">
        <w:t xml:space="preserve">diversity of Muslim experience. Gabriel Said Reynolds’ </w:t>
      </w:r>
      <w:r w:rsidR="00692750">
        <w:rPr>
          <w:i/>
          <w:iCs/>
        </w:rPr>
        <w:t xml:space="preserve">The Emergence Islam </w:t>
      </w:r>
      <w:r w:rsidR="00692750">
        <w:t>will interest those who wish to focus more on nascent Islam, the formati</w:t>
      </w:r>
      <w:r w:rsidR="00AD7D55">
        <w:t>on of the Qur</w:t>
      </w:r>
      <w:r w:rsidR="00967E3D">
        <w:t>’</w:t>
      </w:r>
      <w:r w:rsidR="00AD7D55">
        <w:t xml:space="preserve">an, and its Jewish and </w:t>
      </w:r>
      <w:r w:rsidR="00692750">
        <w:t xml:space="preserve">Christian subtexts. Reynolds </w:t>
      </w:r>
      <w:r w:rsidR="00067F72">
        <w:t xml:space="preserve">compares </w:t>
      </w:r>
      <w:r w:rsidR="00692750">
        <w:t>traditional Islamic understanding</w:t>
      </w:r>
      <w:r w:rsidR="00AD7D55">
        <w:t>s</w:t>
      </w:r>
      <w:r w:rsidR="00692750">
        <w:t xml:space="preserve"> on </w:t>
      </w:r>
      <w:r w:rsidR="00067F72">
        <w:t xml:space="preserve">such </w:t>
      </w:r>
      <w:r w:rsidR="00AD7D55">
        <w:t xml:space="preserve">issues </w:t>
      </w:r>
      <w:r w:rsidR="00067F72">
        <w:t xml:space="preserve">with an </w:t>
      </w:r>
      <w:r w:rsidR="00692750">
        <w:t xml:space="preserve">alternative </w:t>
      </w:r>
      <w:r w:rsidR="00067F72">
        <w:t xml:space="preserve">proposal </w:t>
      </w:r>
      <w:r w:rsidR="00692750">
        <w:t xml:space="preserve">that </w:t>
      </w:r>
      <w:r w:rsidR="00067F72">
        <w:t xml:space="preserve">is </w:t>
      </w:r>
      <w:r w:rsidR="00692750">
        <w:t>firmly based on archaeology, philology, and historical analysis</w:t>
      </w:r>
      <w:r w:rsidR="00A323C0">
        <w:t>. Using this method, he</w:t>
      </w:r>
      <w:r w:rsidR="00CF08EE">
        <w:t xml:space="preserve"> </w:t>
      </w:r>
      <w:r w:rsidR="00067F72">
        <w:t xml:space="preserve">convincingly </w:t>
      </w:r>
      <w:r w:rsidR="00A323C0">
        <w:t xml:space="preserve">shows </w:t>
      </w:r>
      <w:r w:rsidR="00CF08EE">
        <w:t xml:space="preserve">how Jewish and Christian scriptures can elucidate the meaning of </w:t>
      </w:r>
      <w:r w:rsidR="00067F72">
        <w:t xml:space="preserve">many </w:t>
      </w:r>
      <w:r w:rsidR="00CF08EE">
        <w:t>Quranic passages</w:t>
      </w:r>
      <w:r w:rsidR="00692750">
        <w:t xml:space="preserve">. </w:t>
      </w:r>
    </w:p>
    <w:p w14:paraId="40E240D7" w14:textId="77777777" w:rsidR="003709AF" w:rsidRDefault="00A860B5" w:rsidP="00EC4A3C">
      <w:pPr>
        <w:spacing w:line="480" w:lineRule="auto"/>
        <w:ind w:firstLine="720"/>
        <w:jc w:val="both"/>
      </w:pPr>
      <w:r>
        <w:t>A</w:t>
      </w:r>
      <w:r w:rsidR="00DA5FAF">
        <w:t>rthur</w:t>
      </w:r>
      <w:r>
        <w:t xml:space="preserve"> J. </w:t>
      </w:r>
      <w:proofErr w:type="spellStart"/>
      <w:r>
        <w:t>Droge’s</w:t>
      </w:r>
      <w:proofErr w:type="spellEnd"/>
      <w:r>
        <w:t xml:space="preserve"> </w:t>
      </w:r>
      <w:r>
        <w:rPr>
          <w:i/>
          <w:iCs/>
        </w:rPr>
        <w:t>The Qur’</w:t>
      </w:r>
      <w:r>
        <w:rPr>
          <w:rFonts w:cs="Times New Roman"/>
          <w:i/>
          <w:iCs/>
        </w:rPr>
        <w:t>ā</w:t>
      </w:r>
      <w:r>
        <w:rPr>
          <w:i/>
          <w:iCs/>
        </w:rPr>
        <w:t xml:space="preserve">n: A New Annotated Translation </w:t>
      </w:r>
      <w:r w:rsidR="00AD1215">
        <w:t xml:space="preserve">is </w:t>
      </w:r>
      <w:r w:rsidR="000742CF">
        <w:t xml:space="preserve">the only English translation </w:t>
      </w:r>
      <w:r w:rsidR="00067F72">
        <w:t xml:space="preserve">to date </w:t>
      </w:r>
      <w:r w:rsidR="000742CF">
        <w:t xml:space="preserve">that </w:t>
      </w:r>
      <w:r w:rsidR="000B465D">
        <w:t xml:space="preserve">adopts </w:t>
      </w:r>
      <w:r w:rsidR="000742CF">
        <w:t>historical analysis</w:t>
      </w:r>
      <w:r w:rsidR="0059174C">
        <w:t xml:space="preserve"> and can be compared </w:t>
      </w:r>
      <w:r w:rsidR="001F6FB1">
        <w:t xml:space="preserve">in any way </w:t>
      </w:r>
      <w:r w:rsidR="00CB4374">
        <w:t xml:space="preserve">to resources on the Bible such as </w:t>
      </w:r>
      <w:r w:rsidR="00CB4374">
        <w:rPr>
          <w:i/>
          <w:iCs/>
        </w:rPr>
        <w:t xml:space="preserve">The HarperCollins Study Bible </w:t>
      </w:r>
      <w:r w:rsidR="00CB4374">
        <w:t xml:space="preserve">or </w:t>
      </w:r>
      <w:r w:rsidR="00CB4374">
        <w:rPr>
          <w:i/>
          <w:iCs/>
        </w:rPr>
        <w:t>The New Oxford Annotated Bible</w:t>
      </w:r>
      <w:r w:rsidR="000742CF">
        <w:t xml:space="preserve">. </w:t>
      </w:r>
      <w:r w:rsidR="000526B1">
        <w:t xml:space="preserve">In </w:t>
      </w:r>
      <w:proofErr w:type="spellStart"/>
      <w:r w:rsidR="000526B1">
        <w:t>Droge’s</w:t>
      </w:r>
      <w:proofErr w:type="spellEnd"/>
      <w:r w:rsidR="000526B1">
        <w:t xml:space="preserve"> own words, “there is certainly no shortage of English translations of the Qur’</w:t>
      </w:r>
      <w:r w:rsidR="000526B1">
        <w:rPr>
          <w:rFonts w:cs="Times New Roman"/>
        </w:rPr>
        <w:t>ā</w:t>
      </w:r>
      <w:r w:rsidR="000526B1">
        <w:t>n currently on the market” but</w:t>
      </w:r>
      <w:r w:rsidR="000B465D">
        <w:t>, as he adds,</w:t>
      </w:r>
      <w:r w:rsidR="000526B1">
        <w:t xml:space="preserve"> “there has been a longstanding need for an edition of the text suitable for use in </w:t>
      </w:r>
      <w:r w:rsidR="00440494">
        <w:t xml:space="preserve">an </w:t>
      </w:r>
      <w:r w:rsidR="000526B1">
        <w:t>academic setting.”</w:t>
      </w:r>
      <w:r w:rsidR="000526B1">
        <w:rPr>
          <w:rStyle w:val="FootnoteReference"/>
        </w:rPr>
        <w:footnoteReference w:id="44"/>
      </w:r>
      <w:r w:rsidR="000526B1">
        <w:t xml:space="preserve"> </w:t>
      </w:r>
      <w:proofErr w:type="spellStart"/>
      <w:r w:rsidR="000526B1">
        <w:t>Droge</w:t>
      </w:r>
      <w:r w:rsidR="000B465D">
        <w:t>’s</w:t>
      </w:r>
      <w:proofErr w:type="spellEnd"/>
      <w:r w:rsidR="000B465D">
        <w:t xml:space="preserve"> translation, unlike others, </w:t>
      </w:r>
      <w:r w:rsidR="00CB4374">
        <w:t xml:space="preserve">shows </w:t>
      </w:r>
      <w:r w:rsidR="000742CF">
        <w:t xml:space="preserve">textual critical awareness, </w:t>
      </w:r>
      <w:r w:rsidR="00440494">
        <w:t xml:space="preserve">highlighting </w:t>
      </w:r>
      <w:r w:rsidR="000742CF">
        <w:t xml:space="preserve">the problems involved </w:t>
      </w:r>
      <w:r w:rsidR="00CB4374">
        <w:t xml:space="preserve">in </w:t>
      </w:r>
      <w:r w:rsidR="000742CF">
        <w:t>relying on the Cairo edition of the Qur</w:t>
      </w:r>
      <w:r w:rsidR="00967E3D">
        <w:t>’</w:t>
      </w:r>
      <w:r w:rsidR="000742CF">
        <w:t>an</w:t>
      </w:r>
      <w:r w:rsidR="00440494">
        <w:t xml:space="preserve"> while </w:t>
      </w:r>
      <w:r w:rsidR="0059174C">
        <w:t>suggesting variant readings to certain Quranic passages</w:t>
      </w:r>
      <w:r w:rsidR="000742CF">
        <w:t xml:space="preserve">. </w:t>
      </w:r>
      <w:r w:rsidR="00EC4A3C">
        <w:t>It discusses</w:t>
      </w:r>
      <w:r w:rsidR="00CB4374">
        <w:t xml:space="preserve"> </w:t>
      </w:r>
      <w:r w:rsidR="00EC4A3C">
        <w:t xml:space="preserve">the </w:t>
      </w:r>
      <w:r w:rsidR="000742CF">
        <w:t xml:space="preserve">problems </w:t>
      </w:r>
      <w:r w:rsidR="00EC4A3C">
        <w:t xml:space="preserve">involved </w:t>
      </w:r>
      <w:r w:rsidR="000742CF">
        <w:t xml:space="preserve">with </w:t>
      </w:r>
      <w:r w:rsidR="00CB4374">
        <w:t>the usage of tradition for the understanding of the original meaning of the Qur</w:t>
      </w:r>
      <w:r w:rsidR="00967E3D">
        <w:t>’</w:t>
      </w:r>
      <w:r w:rsidR="00CB4374">
        <w:t xml:space="preserve">an. </w:t>
      </w:r>
      <w:r w:rsidR="00EC4A3C">
        <w:t>Like many translations of the Bible</w:t>
      </w:r>
      <w:r w:rsidR="00440494">
        <w:t xml:space="preserve">, </w:t>
      </w:r>
      <w:proofErr w:type="spellStart"/>
      <w:r w:rsidR="00440494">
        <w:t>Droge’s</w:t>
      </w:r>
      <w:proofErr w:type="spellEnd"/>
      <w:r w:rsidR="00440494">
        <w:t xml:space="preserve"> work </w:t>
      </w:r>
      <w:r w:rsidR="0059174C">
        <w:t xml:space="preserve">consults </w:t>
      </w:r>
      <w:r w:rsidR="001F6FB1">
        <w:t xml:space="preserve">cognate languages such as </w:t>
      </w:r>
      <w:r w:rsidR="0059174C">
        <w:t xml:space="preserve">Hebrew, Aramaic, Syriac, and </w:t>
      </w:r>
      <w:r w:rsidR="001F6FB1">
        <w:t xml:space="preserve">even </w:t>
      </w:r>
      <w:r w:rsidR="0059174C">
        <w:t>Greek to shed light on Arabic terms.</w:t>
      </w:r>
      <w:r w:rsidR="0059174C">
        <w:rPr>
          <w:rStyle w:val="FootnoteReference"/>
        </w:rPr>
        <w:footnoteReference w:id="45"/>
      </w:r>
      <w:r w:rsidR="00CB4374">
        <w:t xml:space="preserve"> </w:t>
      </w:r>
      <w:r w:rsidR="00EC4A3C">
        <w:t xml:space="preserve">The </w:t>
      </w:r>
      <w:r w:rsidR="000526B1">
        <w:t xml:space="preserve">annotations contain </w:t>
      </w:r>
      <w:r w:rsidR="000526B1">
        <w:lastRenderedPageBreak/>
        <w:t>numerous references to extra-Quranic sources written before the Qur</w:t>
      </w:r>
      <w:r w:rsidR="00967E3D">
        <w:t>’</w:t>
      </w:r>
      <w:r w:rsidR="000526B1">
        <w:t>an, biblical and non-biblical.</w:t>
      </w:r>
    </w:p>
    <w:p w14:paraId="12CA9D03" w14:textId="65BF5EF4" w:rsidR="00EA0BE3" w:rsidRDefault="00E7558A" w:rsidP="00EA0BE3">
      <w:pPr>
        <w:pStyle w:val="NoSpacing"/>
        <w:spacing w:line="480" w:lineRule="auto"/>
        <w:ind w:firstLine="720"/>
        <w:jc w:val="both"/>
      </w:pPr>
      <w:r>
        <w:t xml:space="preserve">A brief survey of some introductory works and translations can hardly reflect the actual state of Quranic and early Islamic studies in all its aspects. Textbooks and translations do, however, point to certain conventions that have accumulated over time. </w:t>
      </w:r>
      <w:r w:rsidR="00A50A8B">
        <w:t xml:space="preserve">The instructor will find no short supply of Quranic translations and introductory works that present Islam in favorable light. </w:t>
      </w:r>
      <w:r>
        <w:t xml:space="preserve">The resistance to critical inquiry </w:t>
      </w:r>
      <w:r w:rsidR="00A50A8B">
        <w:t xml:space="preserve">noted in these publications </w:t>
      </w:r>
      <w:r>
        <w:t xml:space="preserve">becomes all the more salient when compared to </w:t>
      </w:r>
      <w:r w:rsidR="00A50A8B">
        <w:t xml:space="preserve">equivalent </w:t>
      </w:r>
      <w:r w:rsidR="00EA0BE3">
        <w:t xml:space="preserve">works </w:t>
      </w:r>
      <w:r w:rsidR="00A50A8B">
        <w:t xml:space="preserve">produced in </w:t>
      </w:r>
      <w:r>
        <w:t xml:space="preserve">the fields of biblical, Second Temple, early Christian, and early rabbinic studies. Multiple factors can probably account for this type of reluctance. </w:t>
      </w:r>
      <w:proofErr w:type="spellStart"/>
      <w:r>
        <w:t>Droge</w:t>
      </w:r>
      <w:proofErr w:type="spellEnd"/>
      <w:r>
        <w:t xml:space="preserve"> points to the institutionalization of academic orthodoxies over the last one hundred and fifty years, highlighting a particular unwillingness, even in secular academic circles, to analyze religion critically because it might prove offensive.</w:t>
      </w:r>
      <w:r>
        <w:rPr>
          <w:rStyle w:val="FootnoteReference"/>
        </w:rPr>
        <w:footnoteReference w:id="46"/>
      </w:r>
      <w:r>
        <w:t xml:space="preserve"> Add to this the extremist discourses about Islam and Muslims one hears from several corners, including from prominent presidential candidates in the US, not to mention the complex web of political circumstances spun by 9/11, the rise of ISIS, or the refugee crisis, in a social context where many are poorly informed about religion, prone to generalizations, and unwilling to nuance or contextualize.</w:t>
      </w:r>
      <w:r w:rsidR="00A50A8B">
        <w:t xml:space="preserve"> In such circumstances, a</w:t>
      </w:r>
      <w:r w:rsidR="00EA0BE3">
        <w:t>ny</w:t>
      </w:r>
      <w:r w:rsidR="00A50A8B">
        <w:t xml:space="preserve"> critical assessment of Islam might unwittingly lead to unforeseen social-political ramifications</w:t>
      </w:r>
      <w:r w:rsidR="00EA0BE3">
        <w:t>.</w:t>
      </w:r>
      <w:r w:rsidR="00A50A8B">
        <w:t xml:space="preserve"> </w:t>
      </w:r>
      <w:r w:rsidR="00EA0BE3">
        <w:t xml:space="preserve">In the academic context, the unfortunate aspects of the legacy of “Orientalism,” noted ever since Edward Said, means that investigating the “origins” of Islam automatically implies in certain circles the perpetuation of a Western colonialist or imperialist bias against Islam. The fear of such incrimination can be strong. But this charge should not go unchallenged. The days when New Testament scholars employed historical criticism to denigrate </w:t>
      </w:r>
      <w:r w:rsidR="00EA0BE3">
        <w:lastRenderedPageBreak/>
        <w:t>Judaism are over. The eradication of anti-Semitism (or anti-Judaism) from biblical studies did not entail with it the demise of historical criticism. Why can the same not be true for Quranic studies?</w:t>
      </w:r>
    </w:p>
    <w:p w14:paraId="01F62B4C" w14:textId="77777777" w:rsidR="00EA0BE3" w:rsidRDefault="00EA0BE3" w:rsidP="00DB65C0">
      <w:pPr>
        <w:pStyle w:val="NoSpacing"/>
        <w:spacing w:line="480" w:lineRule="auto"/>
        <w:rPr>
          <w:b/>
          <w:bCs/>
        </w:rPr>
      </w:pPr>
    </w:p>
    <w:p w14:paraId="42DE61E8" w14:textId="77777777" w:rsidR="003709AF" w:rsidRDefault="003709AF" w:rsidP="00DB65C0">
      <w:pPr>
        <w:pStyle w:val="NoSpacing"/>
        <w:spacing w:line="480" w:lineRule="auto"/>
      </w:pPr>
      <w:r>
        <w:rPr>
          <w:b/>
          <w:bCs/>
        </w:rPr>
        <w:t>Orientalism, Anti-Semitism, and Historical Criticism</w:t>
      </w:r>
    </w:p>
    <w:p w14:paraId="1706A899" w14:textId="7E3F1285" w:rsidR="000147A5" w:rsidRDefault="00EA0BE3" w:rsidP="00EA0BE3">
      <w:pPr>
        <w:pStyle w:val="NoSpacing"/>
        <w:spacing w:line="480" w:lineRule="auto"/>
        <w:ind w:firstLine="720"/>
        <w:jc w:val="both"/>
      </w:pPr>
      <w:r>
        <w:t xml:space="preserve">Whether he intended so or not, </w:t>
      </w:r>
      <w:r w:rsidR="00E40A81">
        <w:t xml:space="preserve">Said’s </w:t>
      </w:r>
      <w:r w:rsidR="003709AF">
        <w:t xml:space="preserve">influential </w:t>
      </w:r>
      <w:r w:rsidR="0027704C">
        <w:rPr>
          <w:i/>
          <w:iCs/>
        </w:rPr>
        <w:t>Orientalism</w:t>
      </w:r>
      <w:r w:rsidR="0027704C">
        <w:t xml:space="preserve">, </w:t>
      </w:r>
      <w:r>
        <w:t xml:space="preserve">which was </w:t>
      </w:r>
      <w:r w:rsidR="0027704C">
        <w:t>published in 1978</w:t>
      </w:r>
      <w:r>
        <w:t>,</w:t>
      </w:r>
      <w:r w:rsidR="0027704C">
        <w:t xml:space="preserve"> </w:t>
      </w:r>
      <w:r w:rsidR="00A33E66">
        <w:t xml:space="preserve">has </w:t>
      </w:r>
      <w:r>
        <w:t xml:space="preserve">since </w:t>
      </w:r>
      <w:r w:rsidR="00CD79F3">
        <w:t xml:space="preserve">depleted </w:t>
      </w:r>
      <w:r w:rsidR="007D194C">
        <w:t xml:space="preserve">the academic level of </w:t>
      </w:r>
      <w:r w:rsidR="00CD79F3">
        <w:t xml:space="preserve">critical engagement with Islamic </w:t>
      </w:r>
      <w:r w:rsidR="00F777BD">
        <w:t xml:space="preserve">canonical </w:t>
      </w:r>
      <w:r w:rsidR="00CD79F3">
        <w:t>sources</w:t>
      </w:r>
      <w:r w:rsidR="00F777BD">
        <w:t>.</w:t>
      </w:r>
      <w:r w:rsidR="00B6648E">
        <w:rPr>
          <w:rStyle w:val="FootnoteReference"/>
        </w:rPr>
        <w:footnoteReference w:id="47"/>
      </w:r>
      <w:r w:rsidR="00093A01">
        <w:t xml:space="preserve"> </w:t>
      </w:r>
      <w:r w:rsidR="00B6648E">
        <w:t xml:space="preserve">Said set out to demonstrate how the </w:t>
      </w:r>
      <w:r w:rsidR="009A75F0">
        <w:t xml:space="preserve">Western </w:t>
      </w:r>
      <w:r w:rsidR="00B6648E">
        <w:t xml:space="preserve">study of the </w:t>
      </w:r>
      <w:r w:rsidR="00F755CB">
        <w:t>“</w:t>
      </w:r>
      <w:r w:rsidR="00B6648E">
        <w:t>Orient</w:t>
      </w:r>
      <w:r w:rsidR="00F755CB">
        <w:t>”</w:t>
      </w:r>
      <w:r w:rsidR="00B6648E">
        <w:t xml:space="preserve"> </w:t>
      </w:r>
      <w:r w:rsidR="009A75F0">
        <w:t xml:space="preserve">by philologists, historians, anthropologists, sociologists, political theorists, philosophers, and economists </w:t>
      </w:r>
      <w:r w:rsidR="00B6648E">
        <w:t>was profoundly entrenched in prejudices, ster</w:t>
      </w:r>
      <w:r w:rsidR="00F755CB">
        <w:t>eotypes, and even romantic views</w:t>
      </w:r>
      <w:r w:rsidR="00B6648E">
        <w:t xml:space="preserve"> about the East, particularly Arabic culture. Worse yet, Said </w:t>
      </w:r>
      <w:r w:rsidR="00CD79F3">
        <w:t xml:space="preserve">claimed that the philological inquiry of the Orient performed by Western scholars, “Orientalism” as he called it, </w:t>
      </w:r>
      <w:r w:rsidR="00B6648E">
        <w:t xml:space="preserve"> </w:t>
      </w:r>
      <w:r w:rsidR="00CD79F3">
        <w:t xml:space="preserve">were </w:t>
      </w:r>
      <w:r w:rsidR="00B6648E">
        <w:t xml:space="preserve">implicated in </w:t>
      </w:r>
      <w:r w:rsidR="00CD79F3">
        <w:t xml:space="preserve">the very colonial </w:t>
      </w:r>
      <w:r w:rsidR="00B6648E">
        <w:t xml:space="preserve">endeavors that </w:t>
      </w:r>
      <w:r w:rsidR="00CD79F3">
        <w:t xml:space="preserve">allowed the West to dominate </w:t>
      </w:r>
      <w:r w:rsidR="00B6648E">
        <w:t>the Arab world.</w:t>
      </w:r>
      <w:r w:rsidR="000147A5">
        <w:rPr>
          <w:rStyle w:val="FootnoteReference"/>
        </w:rPr>
        <w:footnoteReference w:id="48"/>
      </w:r>
      <w:r w:rsidR="00B6648E">
        <w:t xml:space="preserve"> </w:t>
      </w:r>
      <w:r w:rsidR="000147A5">
        <w:t>At the very least, t</w:t>
      </w:r>
      <w:r w:rsidR="00B6648E">
        <w:t xml:space="preserve">he Western study of Islamic civilization </w:t>
      </w:r>
      <w:r w:rsidR="000147A5">
        <w:t xml:space="preserve">represented </w:t>
      </w:r>
      <w:r w:rsidR="00B6648E">
        <w:t>an exercise in European self-affirmation rather than in an objective inquiry.</w:t>
      </w:r>
      <w:r w:rsidR="00B6648E" w:rsidRPr="00B6648E">
        <w:t xml:space="preserve"> </w:t>
      </w:r>
    </w:p>
    <w:p w14:paraId="757EA083" w14:textId="521C333A" w:rsidR="00B6648E" w:rsidRDefault="00B6648E" w:rsidP="001541EC">
      <w:pPr>
        <w:pStyle w:val="NoSpacing"/>
        <w:spacing w:line="480" w:lineRule="auto"/>
        <w:ind w:firstLine="720"/>
        <w:jc w:val="both"/>
      </w:pPr>
      <w:r>
        <w:t xml:space="preserve">In the opening of his book, Said makes an interesting, though controversial, observation </w:t>
      </w:r>
      <w:r w:rsidR="00EA0BE3">
        <w:t xml:space="preserve">about the </w:t>
      </w:r>
      <w:r w:rsidR="001541EC">
        <w:t xml:space="preserve">overlap between </w:t>
      </w:r>
      <w:r w:rsidR="00EA0BE3">
        <w:t>Orientalist</w:t>
      </w:r>
      <w:r>
        <w:t xml:space="preserve"> </w:t>
      </w:r>
      <w:r w:rsidR="00EA0BE3">
        <w:t>and Western anti-Semitic discourses</w:t>
      </w:r>
      <w:r>
        <w:t xml:space="preserve">: </w:t>
      </w:r>
    </w:p>
    <w:p w14:paraId="15E0C4DE" w14:textId="77777777" w:rsidR="00B6648E" w:rsidRDefault="00B6648E" w:rsidP="001541EC">
      <w:pPr>
        <w:pStyle w:val="NoSpacing"/>
        <w:spacing w:line="480" w:lineRule="auto"/>
        <w:ind w:left="283"/>
        <w:jc w:val="both"/>
      </w:pPr>
      <w:r>
        <w:t xml:space="preserve">Too often literature and culture are presumed to be politically, even historically innocent; it has regularly seemed otherwise to me, and certainly my study of Orientalism has convinced me (and I hope will convince my literary colleagues) that society and literary culture can only </w:t>
      </w:r>
      <w:r>
        <w:lastRenderedPageBreak/>
        <w:t>be understood and studied together. In addition, and by an almost inescapable logic, I have found myself writing the history of a strange, secret sharer of Western anti-Semitism. That anti-Semitism and, as I have discussed it in its Islamic branch, Orientalism resemble each other very closely is a historical, cultural, and political truth that needs only to be mentioned to an Arab Palestinian for its irony to be perfectly understood.</w:t>
      </w:r>
      <w:r>
        <w:rPr>
          <w:rStyle w:val="FootnoteReference"/>
        </w:rPr>
        <w:footnoteReference w:id="49"/>
      </w:r>
    </w:p>
    <w:p w14:paraId="6AED351D" w14:textId="76BD9A2C" w:rsidR="002D498A" w:rsidRDefault="00B6648E" w:rsidP="007E6DBB">
      <w:pPr>
        <w:pStyle w:val="NoSpacing"/>
        <w:spacing w:line="480" w:lineRule="auto"/>
        <w:ind w:firstLine="720"/>
        <w:jc w:val="both"/>
      </w:pPr>
      <w:r>
        <w:t xml:space="preserve">One need only mention the name of Ernst Renan to recognize a certain truth </w:t>
      </w:r>
      <w:r w:rsidR="007D194C">
        <w:t xml:space="preserve">in </w:t>
      </w:r>
      <w:r>
        <w:t>Said’s comparison.</w:t>
      </w:r>
      <w:r>
        <w:rPr>
          <w:rStyle w:val="FootnoteReference"/>
        </w:rPr>
        <w:footnoteReference w:id="50"/>
      </w:r>
      <w:r>
        <w:t xml:space="preserve"> </w:t>
      </w:r>
      <w:r w:rsidR="00093A01">
        <w:t xml:space="preserve">Interestingly, Said’s work came out </w:t>
      </w:r>
      <w:r w:rsidR="00F90D8C">
        <w:t xml:space="preserve">almost </w:t>
      </w:r>
      <w:r w:rsidR="00093A01">
        <w:t xml:space="preserve">at the same time as </w:t>
      </w:r>
      <w:r w:rsidR="0027704C">
        <w:t>E. P. Sanders</w:t>
      </w:r>
      <w:r>
        <w:t xml:space="preserve">’ </w:t>
      </w:r>
      <w:r w:rsidR="00F90D8C">
        <w:t xml:space="preserve">seminal </w:t>
      </w:r>
      <w:r w:rsidR="0027704C">
        <w:rPr>
          <w:i/>
          <w:iCs/>
        </w:rPr>
        <w:t>Paul and Palestinian Judaism</w:t>
      </w:r>
      <w:r w:rsidR="00093A01">
        <w:rPr>
          <w:i/>
          <w:iCs/>
        </w:rPr>
        <w:t xml:space="preserve"> </w:t>
      </w:r>
      <w:r w:rsidR="00093A01">
        <w:t>(1977)</w:t>
      </w:r>
      <w:r w:rsidR="0027704C">
        <w:t xml:space="preserve">. </w:t>
      </w:r>
      <w:r>
        <w:t xml:space="preserve">Prior to War World War II, many Jewish and some Christian scholars had sought to combat anti-Jewish </w:t>
      </w:r>
      <w:r w:rsidR="007D194C">
        <w:t xml:space="preserve">depictions of </w:t>
      </w:r>
      <w:r>
        <w:t xml:space="preserve">Judaism </w:t>
      </w:r>
      <w:r w:rsidR="007D194C">
        <w:t xml:space="preserve">promoted </w:t>
      </w:r>
      <w:r w:rsidR="00B56595">
        <w:t xml:space="preserve">by Western </w:t>
      </w:r>
      <w:r>
        <w:t xml:space="preserve">biblical scholars. Yet Sanders could still detect in the New Testament scholarship of his time a penchant to depict </w:t>
      </w:r>
      <w:r w:rsidR="007E6DBB">
        <w:t xml:space="preserve">early </w:t>
      </w:r>
      <w:r>
        <w:t>Judaism as a legalistic religion, a declining phenomenon (</w:t>
      </w:r>
      <w:proofErr w:type="spellStart"/>
      <w:r w:rsidRPr="00641588">
        <w:rPr>
          <w:i/>
          <w:iCs/>
        </w:rPr>
        <w:t>Spätjudentum</w:t>
      </w:r>
      <w:proofErr w:type="spellEnd"/>
      <w:r>
        <w:t xml:space="preserve">), the anti-thesis of </w:t>
      </w:r>
      <w:r w:rsidR="007D194C">
        <w:t xml:space="preserve">a far greater </w:t>
      </w:r>
      <w:r>
        <w:t xml:space="preserve">entity </w:t>
      </w:r>
      <w:r w:rsidR="007D194C">
        <w:t xml:space="preserve">to come </w:t>
      </w:r>
      <w:r>
        <w:t>known as Christianity</w:t>
      </w:r>
      <w:r w:rsidR="007D194C">
        <w:t>, which was definitively non-Jewish</w:t>
      </w:r>
      <w:r>
        <w:t xml:space="preserve">. Much of Sanders’ six hundred-page book </w:t>
      </w:r>
      <w:r>
        <w:rPr>
          <w:i/>
          <w:iCs/>
        </w:rPr>
        <w:t xml:space="preserve">Paul and Palestinian </w:t>
      </w:r>
      <w:r w:rsidRPr="008F3706">
        <w:rPr>
          <w:i/>
          <w:iCs/>
        </w:rPr>
        <w:t>Judaism</w:t>
      </w:r>
      <w:r>
        <w:t xml:space="preserve"> deals </w:t>
      </w:r>
      <w:r w:rsidR="00264694">
        <w:t xml:space="preserve">accordingly </w:t>
      </w:r>
      <w:r>
        <w:t xml:space="preserve">with correcting this Christian misconception before tackling the theology of Paul proper. Like </w:t>
      </w:r>
      <w:r w:rsidR="00264694">
        <w:t>the study of the Orient</w:t>
      </w:r>
      <w:r>
        <w:t>, the Western study of Judaism had become an exercise in reification</w:t>
      </w:r>
      <w:r w:rsidR="00B56595">
        <w:t xml:space="preserve"> of the “Other”</w:t>
      </w:r>
      <w:r>
        <w:t xml:space="preserve"> and self-affirmation, </w:t>
      </w:r>
      <w:r w:rsidR="00F755CB">
        <w:t>legitimizing</w:t>
      </w:r>
      <w:r w:rsidR="001E34B0">
        <w:t xml:space="preserve"> in the history of Jewish-Christian relations</w:t>
      </w:r>
      <w:r w:rsidR="00F755CB">
        <w:t xml:space="preserve"> </w:t>
      </w:r>
      <w:r>
        <w:t>Chri</w:t>
      </w:r>
      <w:r w:rsidR="00F755CB">
        <w:t>stian supersessionism</w:t>
      </w:r>
      <w:r w:rsidR="001E34B0">
        <w:t xml:space="preserve"> or in the worst cases, atrocities against Jews</w:t>
      </w:r>
      <w:r w:rsidR="00F755CB">
        <w:t xml:space="preserve">. Sanders intended </w:t>
      </w:r>
      <w:r>
        <w:t>to correct such distortion</w:t>
      </w:r>
      <w:r w:rsidR="00F755CB">
        <w:t>s</w:t>
      </w:r>
      <w:r>
        <w:t xml:space="preserve"> and propose an alternative model</w:t>
      </w:r>
      <w:r w:rsidR="00F755CB">
        <w:t xml:space="preserve"> for understanding early Judaism</w:t>
      </w:r>
      <w:r>
        <w:t xml:space="preserve">, </w:t>
      </w:r>
      <w:r w:rsidR="00264694">
        <w:t xml:space="preserve">which he argued was a religion based on </w:t>
      </w:r>
      <w:r w:rsidR="00B56595">
        <w:t>“</w:t>
      </w:r>
      <w:r w:rsidR="00264694">
        <w:t>grace.</w:t>
      </w:r>
      <w:r w:rsidR="00B56595">
        <w:t>”</w:t>
      </w:r>
      <w:r>
        <w:t xml:space="preserve"> </w:t>
      </w:r>
      <w:r w:rsidR="00B56595">
        <w:rPr>
          <w:szCs w:val="24"/>
        </w:rPr>
        <w:t xml:space="preserve">Although many thinkers preceding Sanders sought to correct the anti-Jewish bias </w:t>
      </w:r>
      <w:r w:rsidR="001E34B0">
        <w:rPr>
          <w:szCs w:val="24"/>
        </w:rPr>
        <w:t xml:space="preserve">pervading </w:t>
      </w:r>
      <w:r w:rsidR="00B56595">
        <w:rPr>
          <w:szCs w:val="24"/>
        </w:rPr>
        <w:t>Western biblical scholarship</w:t>
      </w:r>
      <w:r w:rsidR="001E34B0">
        <w:rPr>
          <w:szCs w:val="24"/>
        </w:rPr>
        <w:t>, especially after historic events such as the Holocaust, the establishment of the modern state of Israel</w:t>
      </w:r>
      <w:r w:rsidR="00B56595">
        <w:rPr>
          <w:szCs w:val="24"/>
        </w:rPr>
        <w:t xml:space="preserve">, </w:t>
      </w:r>
      <w:r w:rsidR="001E34B0">
        <w:rPr>
          <w:szCs w:val="24"/>
        </w:rPr>
        <w:t xml:space="preserve">and the discovery of the Dead Sea Scrolls, </w:t>
      </w:r>
      <w:r w:rsidR="00B56595">
        <w:rPr>
          <w:szCs w:val="24"/>
        </w:rPr>
        <w:t xml:space="preserve">one can note </w:t>
      </w:r>
      <w:r>
        <w:rPr>
          <w:szCs w:val="24"/>
        </w:rPr>
        <w:t xml:space="preserve">a </w:t>
      </w:r>
      <w:r w:rsidR="00B56595">
        <w:rPr>
          <w:szCs w:val="24"/>
        </w:rPr>
        <w:t xml:space="preserve">significant </w:t>
      </w:r>
      <w:r>
        <w:rPr>
          <w:szCs w:val="24"/>
        </w:rPr>
        <w:t xml:space="preserve">shift </w:t>
      </w:r>
      <w:r w:rsidR="00B56595">
        <w:rPr>
          <w:szCs w:val="24"/>
        </w:rPr>
        <w:t xml:space="preserve">in New Testament studies </w:t>
      </w:r>
      <w:r w:rsidR="00A323C0">
        <w:rPr>
          <w:szCs w:val="24"/>
        </w:rPr>
        <w:lastRenderedPageBreak/>
        <w:t xml:space="preserve">in the wake of </w:t>
      </w:r>
      <w:r>
        <w:rPr>
          <w:szCs w:val="24"/>
        </w:rPr>
        <w:t>Sanders’ work</w:t>
      </w:r>
      <w:r w:rsidR="001E34B0">
        <w:rPr>
          <w:szCs w:val="24"/>
        </w:rPr>
        <w:t xml:space="preserve"> (particularly in Pauline studies)</w:t>
      </w:r>
      <w:r>
        <w:rPr>
          <w:szCs w:val="24"/>
        </w:rPr>
        <w:t xml:space="preserve">. </w:t>
      </w:r>
      <w:r w:rsidR="00264694">
        <w:rPr>
          <w:szCs w:val="24"/>
        </w:rPr>
        <w:t>S</w:t>
      </w:r>
      <w:r>
        <w:rPr>
          <w:szCs w:val="24"/>
        </w:rPr>
        <w:t xml:space="preserve">ince </w:t>
      </w:r>
      <w:r w:rsidR="00B56595">
        <w:rPr>
          <w:szCs w:val="24"/>
        </w:rPr>
        <w:t>then</w:t>
      </w:r>
      <w:r w:rsidR="0040563D">
        <w:rPr>
          <w:szCs w:val="24"/>
        </w:rPr>
        <w:t>,</w:t>
      </w:r>
      <w:r>
        <w:rPr>
          <w:szCs w:val="24"/>
        </w:rPr>
        <w:t xml:space="preserve"> it has become customary to discuss Paul’s relation to Judaism</w:t>
      </w:r>
      <w:r w:rsidR="004C627A">
        <w:rPr>
          <w:szCs w:val="24"/>
        </w:rPr>
        <w:t xml:space="preserve">, not to mention that of </w:t>
      </w:r>
      <w:r w:rsidR="00264694">
        <w:rPr>
          <w:szCs w:val="24"/>
        </w:rPr>
        <w:t>J</w:t>
      </w:r>
      <w:r>
        <w:rPr>
          <w:szCs w:val="24"/>
        </w:rPr>
        <w:t>esus</w:t>
      </w:r>
      <w:r w:rsidR="004C627A">
        <w:rPr>
          <w:szCs w:val="24"/>
        </w:rPr>
        <w:t>’s,</w:t>
      </w:r>
      <w:r>
        <w:rPr>
          <w:szCs w:val="24"/>
        </w:rPr>
        <w:t xml:space="preserve"> </w:t>
      </w:r>
      <w:r w:rsidR="00264694">
        <w:rPr>
          <w:szCs w:val="24"/>
        </w:rPr>
        <w:t xml:space="preserve">in </w:t>
      </w:r>
      <w:r>
        <w:rPr>
          <w:szCs w:val="24"/>
        </w:rPr>
        <w:t xml:space="preserve">a far more nuanced way that </w:t>
      </w:r>
      <w:r w:rsidR="00B56595">
        <w:rPr>
          <w:szCs w:val="24"/>
        </w:rPr>
        <w:t>assumes Paul’s Jewishness (however understood)</w:t>
      </w:r>
      <w:r>
        <w:rPr>
          <w:szCs w:val="24"/>
        </w:rPr>
        <w:t xml:space="preserve">. </w:t>
      </w:r>
      <w:r w:rsidR="00FA33B6">
        <w:rPr>
          <w:szCs w:val="24"/>
        </w:rPr>
        <w:t xml:space="preserve">Some even maintain that early Christianity should be viewed </w:t>
      </w:r>
      <w:r w:rsidR="001E34B0">
        <w:rPr>
          <w:szCs w:val="24"/>
        </w:rPr>
        <w:t xml:space="preserve">originally </w:t>
      </w:r>
      <w:r w:rsidR="00FA33B6">
        <w:rPr>
          <w:i/>
          <w:iCs/>
          <w:szCs w:val="24"/>
        </w:rPr>
        <w:t xml:space="preserve">as </w:t>
      </w:r>
      <w:r w:rsidR="00FA33B6" w:rsidRPr="001E34B0">
        <w:rPr>
          <w:szCs w:val="24"/>
        </w:rPr>
        <w:t>a</w:t>
      </w:r>
      <w:r w:rsidR="00FA33B6">
        <w:rPr>
          <w:i/>
          <w:iCs/>
          <w:szCs w:val="24"/>
        </w:rPr>
        <w:t xml:space="preserve"> </w:t>
      </w:r>
      <w:r w:rsidR="00FA33B6">
        <w:rPr>
          <w:szCs w:val="24"/>
        </w:rPr>
        <w:t>“</w:t>
      </w:r>
      <w:r w:rsidR="00FA33B6" w:rsidRPr="00FA33B6">
        <w:rPr>
          <w:szCs w:val="24"/>
        </w:rPr>
        <w:t>Judaism</w:t>
      </w:r>
      <w:r w:rsidR="00FA33B6">
        <w:rPr>
          <w:szCs w:val="24"/>
        </w:rPr>
        <w:t>” or</w:t>
      </w:r>
      <w:r w:rsidR="001E34B0">
        <w:rPr>
          <w:szCs w:val="24"/>
        </w:rPr>
        <w:t xml:space="preserve"> as one of the possible</w:t>
      </w:r>
      <w:r w:rsidR="00FA33B6">
        <w:rPr>
          <w:szCs w:val="24"/>
        </w:rPr>
        <w:t xml:space="preserve"> expression</w:t>
      </w:r>
      <w:r w:rsidR="001E34B0">
        <w:rPr>
          <w:szCs w:val="24"/>
        </w:rPr>
        <w:t>s</w:t>
      </w:r>
      <w:r w:rsidR="00FA33B6">
        <w:rPr>
          <w:szCs w:val="24"/>
        </w:rPr>
        <w:t xml:space="preserve"> </w:t>
      </w:r>
      <w:r w:rsidR="001E34B0">
        <w:rPr>
          <w:szCs w:val="24"/>
        </w:rPr>
        <w:t xml:space="preserve">emerging from </w:t>
      </w:r>
      <w:r w:rsidR="00FA33B6">
        <w:rPr>
          <w:szCs w:val="24"/>
        </w:rPr>
        <w:t xml:space="preserve">Second Temple </w:t>
      </w:r>
      <w:r w:rsidR="002D498A">
        <w:rPr>
          <w:szCs w:val="24"/>
        </w:rPr>
        <w:t>Judaism</w:t>
      </w:r>
      <w:r w:rsidR="00FA33B6">
        <w:rPr>
          <w:szCs w:val="24"/>
        </w:rPr>
        <w:t xml:space="preserve">. </w:t>
      </w:r>
      <w:r w:rsidR="00264694" w:rsidRPr="00FA33B6">
        <w:rPr>
          <w:szCs w:val="24"/>
        </w:rPr>
        <w:t>Sanders</w:t>
      </w:r>
      <w:r w:rsidR="00264694">
        <w:rPr>
          <w:szCs w:val="24"/>
        </w:rPr>
        <w:t xml:space="preserve">, however, used the tools of historical criticism and comparative </w:t>
      </w:r>
      <w:r w:rsidR="002D498A">
        <w:rPr>
          <w:szCs w:val="24"/>
        </w:rPr>
        <w:t>religion</w:t>
      </w:r>
      <w:r w:rsidR="00264694">
        <w:rPr>
          <w:szCs w:val="24"/>
        </w:rPr>
        <w:t xml:space="preserve">, studying patterns in different religious </w:t>
      </w:r>
      <w:r w:rsidR="002D498A">
        <w:rPr>
          <w:szCs w:val="24"/>
        </w:rPr>
        <w:t xml:space="preserve">texts in order </w:t>
      </w:r>
      <w:r w:rsidR="00264694">
        <w:rPr>
          <w:szCs w:val="24"/>
        </w:rPr>
        <w:t xml:space="preserve">to make his point. </w:t>
      </w:r>
      <w:r w:rsidR="00FA33B6">
        <w:rPr>
          <w:szCs w:val="24"/>
        </w:rPr>
        <w:t xml:space="preserve">He was, unlike Said, a specialist in the field he was critiquing. </w:t>
      </w:r>
      <w:r w:rsidR="00264694">
        <w:rPr>
          <w:szCs w:val="24"/>
        </w:rPr>
        <w:t xml:space="preserve">His research </w:t>
      </w:r>
      <w:r w:rsidR="00A43E87" w:rsidRPr="00A43E87">
        <w:rPr>
          <w:i/>
          <w:iCs/>
        </w:rPr>
        <w:t xml:space="preserve">reinvigorated </w:t>
      </w:r>
      <w:r w:rsidR="00264694">
        <w:rPr>
          <w:i/>
          <w:iCs/>
        </w:rPr>
        <w:t xml:space="preserve">the </w:t>
      </w:r>
      <w:r w:rsidR="00A43E87" w:rsidRPr="00A43E87">
        <w:rPr>
          <w:i/>
          <w:iCs/>
        </w:rPr>
        <w:t xml:space="preserve">historical critical analysis </w:t>
      </w:r>
      <w:r w:rsidR="00264694">
        <w:t xml:space="preserve">of the </w:t>
      </w:r>
      <w:r w:rsidR="00A43E87" w:rsidRPr="00A43E87">
        <w:t xml:space="preserve">New Testament </w:t>
      </w:r>
      <w:r w:rsidR="00537B99">
        <w:t xml:space="preserve">by bringing it into a </w:t>
      </w:r>
      <w:r w:rsidR="00A43E87" w:rsidRPr="00A43E87">
        <w:t>more intimate</w:t>
      </w:r>
      <w:r w:rsidR="0040563D">
        <w:t>, balanced</w:t>
      </w:r>
      <w:r w:rsidR="00A43E87" w:rsidRPr="00A43E87">
        <w:t xml:space="preserve"> conversation with its Jewish </w:t>
      </w:r>
      <w:r w:rsidR="0040563D">
        <w:t>sources</w:t>
      </w:r>
      <w:r w:rsidR="00537B99">
        <w:t xml:space="preserve">. The </w:t>
      </w:r>
      <w:r w:rsidR="002D498A">
        <w:t xml:space="preserve">critical reassessment of </w:t>
      </w:r>
      <w:r w:rsidR="0040563D">
        <w:t xml:space="preserve">early </w:t>
      </w:r>
      <w:r w:rsidR="00537B99">
        <w:t xml:space="preserve">Jewish-Christian relations, including the Jewish context of the New Testament, the Jewishness of Jesus </w:t>
      </w:r>
      <w:r w:rsidR="002D498A">
        <w:t xml:space="preserve">and </w:t>
      </w:r>
      <w:r w:rsidR="00537B99">
        <w:t>Paul</w:t>
      </w:r>
      <w:r w:rsidR="00FA33B6">
        <w:t xml:space="preserve"> (the so-called “New Perspective”)</w:t>
      </w:r>
      <w:r w:rsidR="00537B99">
        <w:t xml:space="preserve">, </w:t>
      </w:r>
      <w:r w:rsidR="002D498A">
        <w:t xml:space="preserve">and </w:t>
      </w:r>
      <w:r w:rsidR="00537B99">
        <w:t xml:space="preserve">the </w:t>
      </w:r>
      <w:proofErr w:type="spellStart"/>
      <w:r w:rsidR="00537B99">
        <w:rPr>
          <w:i/>
          <w:iCs/>
        </w:rPr>
        <w:t>Auseinandersetzungen</w:t>
      </w:r>
      <w:proofErr w:type="spellEnd"/>
      <w:r w:rsidR="00537B99">
        <w:rPr>
          <w:i/>
          <w:iCs/>
        </w:rPr>
        <w:t xml:space="preserve"> </w:t>
      </w:r>
      <w:r w:rsidR="00537B99">
        <w:t xml:space="preserve">between early </w:t>
      </w:r>
      <w:r w:rsidR="00FA33B6">
        <w:t xml:space="preserve">Jews </w:t>
      </w:r>
      <w:r w:rsidR="00537B99">
        <w:t xml:space="preserve">and </w:t>
      </w:r>
      <w:r w:rsidR="00FA33B6">
        <w:t>Christians</w:t>
      </w:r>
      <w:r w:rsidR="00537B99">
        <w:t xml:space="preserve"> is </w:t>
      </w:r>
      <w:r w:rsidR="00FA33B6">
        <w:t xml:space="preserve">now </w:t>
      </w:r>
      <w:r w:rsidR="00537B99">
        <w:t xml:space="preserve">an established reality. </w:t>
      </w:r>
    </w:p>
    <w:p w14:paraId="291B89C8" w14:textId="033589DA" w:rsidR="00586490" w:rsidRDefault="00FA33B6" w:rsidP="007E6DBB">
      <w:pPr>
        <w:pStyle w:val="NoSpacing"/>
        <w:spacing w:line="480" w:lineRule="auto"/>
        <w:ind w:firstLine="720"/>
        <w:jc w:val="both"/>
      </w:pPr>
      <w:r>
        <w:t xml:space="preserve">By contrast, </w:t>
      </w:r>
      <w:r w:rsidR="00B6648E">
        <w:t xml:space="preserve">Said’s </w:t>
      </w:r>
      <w:r w:rsidR="008D277F">
        <w:t xml:space="preserve">legacy </w:t>
      </w:r>
      <w:r>
        <w:t>has</w:t>
      </w:r>
      <w:r w:rsidR="00537B99">
        <w:t xml:space="preserve"> </w:t>
      </w:r>
      <w:r w:rsidR="00A43E87">
        <w:t xml:space="preserve">put into </w:t>
      </w:r>
      <w:r w:rsidR="002D498A">
        <w:t xml:space="preserve">question </w:t>
      </w:r>
      <w:r w:rsidR="00A43E87" w:rsidRPr="0040563D">
        <w:t xml:space="preserve">the </w:t>
      </w:r>
      <w:r w:rsidR="002D498A">
        <w:t xml:space="preserve">historical critical investigation </w:t>
      </w:r>
      <w:r w:rsidR="00537B99">
        <w:t xml:space="preserve">of </w:t>
      </w:r>
      <w:r w:rsidR="002D498A">
        <w:t xml:space="preserve">the </w:t>
      </w:r>
      <w:r w:rsidR="00537B99">
        <w:t xml:space="preserve">Islamic </w:t>
      </w:r>
      <w:r>
        <w:t>canonical corpus</w:t>
      </w:r>
      <w:r w:rsidR="00EC4284">
        <w:t xml:space="preserve">, inadvertently creating </w:t>
      </w:r>
      <w:r w:rsidR="002D498A">
        <w:t xml:space="preserve">a </w:t>
      </w:r>
      <w:r w:rsidR="00EC4284">
        <w:t xml:space="preserve">wider </w:t>
      </w:r>
      <w:r w:rsidR="002D498A">
        <w:t xml:space="preserve">gulf </w:t>
      </w:r>
      <w:r w:rsidR="008D277F">
        <w:t xml:space="preserve">separating </w:t>
      </w:r>
      <w:r w:rsidR="002D498A">
        <w:t xml:space="preserve">the fields of early Judaism, Christianity, and Islam. </w:t>
      </w:r>
      <w:r w:rsidR="008D277F">
        <w:t xml:space="preserve">His exposure of Western colonial predispositions among certain Orientalists, though vital and necessary, did </w:t>
      </w:r>
      <w:r w:rsidR="007E6DBB">
        <w:t xml:space="preserve">little </w:t>
      </w:r>
      <w:r w:rsidR="008D277F">
        <w:t xml:space="preserve">to advance our understanding of the history of early Islam or the formation of the Qur’an, questions that, admittedly, Said was not trained to tackle or cared to pursue. </w:t>
      </w:r>
      <w:r w:rsidR="009A7EEC">
        <w:t xml:space="preserve">Besides chronological proximity, his work shares with Sanders only </w:t>
      </w:r>
      <w:r w:rsidR="00E17D2C">
        <w:t xml:space="preserve">the </w:t>
      </w:r>
      <w:r w:rsidR="008D277F">
        <w:t xml:space="preserve">effort </w:t>
      </w:r>
      <w:r w:rsidR="009A7EEC">
        <w:t xml:space="preserve">to denounce </w:t>
      </w:r>
      <w:r w:rsidR="00E17D2C">
        <w:t xml:space="preserve">certain </w:t>
      </w:r>
      <w:r w:rsidR="009A7EEC">
        <w:t>Western bias</w:t>
      </w:r>
      <w:r w:rsidR="008D277F">
        <w:t>es</w:t>
      </w:r>
      <w:r w:rsidR="009A7EEC">
        <w:t xml:space="preserve">. </w:t>
      </w:r>
      <w:r w:rsidR="00B44C7B">
        <w:t xml:space="preserve">Said critiqued primarily British and French Orientalists; Sanders exposed the anti-Jewish </w:t>
      </w:r>
      <w:r w:rsidR="00EC4284">
        <w:t xml:space="preserve">proclivities </w:t>
      </w:r>
      <w:r w:rsidR="00B44C7B">
        <w:t xml:space="preserve">of </w:t>
      </w:r>
      <w:r w:rsidR="00B44C7B" w:rsidRPr="00B44C7B">
        <w:t>German</w:t>
      </w:r>
      <w:r w:rsidR="00B44C7B">
        <w:t xml:space="preserve"> New Testament </w:t>
      </w:r>
      <w:r w:rsidR="00EC4284">
        <w:t>scholars</w:t>
      </w:r>
      <w:r w:rsidR="00B44C7B">
        <w:t>. Said</w:t>
      </w:r>
      <w:r w:rsidR="008D277F">
        <w:t xml:space="preserve"> </w:t>
      </w:r>
      <w:r w:rsidR="007E6DBB">
        <w:t>tended to essentialize</w:t>
      </w:r>
      <w:r w:rsidR="008D277F">
        <w:t xml:space="preserve"> an entire field of academic studies as an illegitimate project, disregarding</w:t>
      </w:r>
      <w:r w:rsidR="00B44C7B">
        <w:t xml:space="preserve"> </w:t>
      </w:r>
      <w:r w:rsidR="00781DA3">
        <w:t>the scholarship of German Orientalists</w:t>
      </w:r>
      <w:r w:rsidR="00B44C7B">
        <w:t xml:space="preserve"> who </w:t>
      </w:r>
      <w:r w:rsidR="00777988">
        <w:t xml:space="preserve">could claim </w:t>
      </w:r>
      <w:r w:rsidR="00B44C7B">
        <w:t>no physical colonial presence in the Middle East. Sanders</w:t>
      </w:r>
      <w:r w:rsidR="00777988">
        <w:t xml:space="preserve"> </w:t>
      </w:r>
      <w:r w:rsidR="008D277F">
        <w:t xml:space="preserve">denounced </w:t>
      </w:r>
      <w:r w:rsidR="00777988">
        <w:t xml:space="preserve">Christian </w:t>
      </w:r>
      <w:r w:rsidR="00F55E29">
        <w:t xml:space="preserve">misrepresentation of </w:t>
      </w:r>
      <w:r w:rsidR="00777988">
        <w:t xml:space="preserve">early Judaism </w:t>
      </w:r>
      <w:r w:rsidR="008D277F">
        <w:lastRenderedPageBreak/>
        <w:t xml:space="preserve">but </w:t>
      </w:r>
      <w:r w:rsidR="00F55E29">
        <w:t>did not stop there. He also made original proposals that stimulated further investigation</w:t>
      </w:r>
      <w:r w:rsidR="00956669">
        <w:t xml:space="preserve"> </w:t>
      </w:r>
      <w:r w:rsidR="00F55E29">
        <w:t xml:space="preserve">of </w:t>
      </w:r>
      <w:r w:rsidR="00586490">
        <w:t>Second Temple Judaism and Christian origins.</w:t>
      </w:r>
      <w:r w:rsidR="00586490" w:rsidRPr="00586490">
        <w:rPr>
          <w:rStyle w:val="FootnoteReference"/>
        </w:rPr>
        <w:t xml:space="preserve"> </w:t>
      </w:r>
      <w:r w:rsidR="00586490">
        <w:rPr>
          <w:rStyle w:val="FootnoteReference"/>
        </w:rPr>
        <w:footnoteReference w:id="51"/>
      </w:r>
      <w:r w:rsidR="00586490">
        <w:t xml:space="preserve"> </w:t>
      </w:r>
      <w:r w:rsidR="00E17D2C">
        <w:t>Said deconstructed; Sanders reconstructed.</w:t>
      </w:r>
    </w:p>
    <w:p w14:paraId="20817508" w14:textId="206EB1F7" w:rsidR="00E321D1" w:rsidRDefault="00E17D2C" w:rsidP="00295209">
      <w:pPr>
        <w:pStyle w:val="NoSpacing"/>
        <w:spacing w:line="480" w:lineRule="auto"/>
        <w:ind w:firstLine="720"/>
        <w:jc w:val="both"/>
      </w:pPr>
      <w:r>
        <w:t xml:space="preserve">My main goal in summoning and contrasting the legacies of </w:t>
      </w:r>
      <w:r w:rsidR="00586490">
        <w:t xml:space="preserve">these two formidable figures </w:t>
      </w:r>
      <w:r>
        <w:t xml:space="preserve">is </w:t>
      </w:r>
      <w:r w:rsidR="00D22680">
        <w:t xml:space="preserve">to </w:t>
      </w:r>
      <w:r w:rsidR="00586490">
        <w:t xml:space="preserve">caution against </w:t>
      </w:r>
      <w:r>
        <w:t xml:space="preserve">prematurely dismissing </w:t>
      </w:r>
      <w:r w:rsidR="00EC5AF9">
        <w:t>historical-critical inquiry</w:t>
      </w:r>
      <w:r>
        <w:t>.</w:t>
      </w:r>
      <w:r w:rsidR="00FE172A">
        <w:rPr>
          <w:rStyle w:val="FootnoteReference"/>
        </w:rPr>
        <w:footnoteReference w:id="52"/>
      </w:r>
      <w:r w:rsidR="00EC5AF9">
        <w:t xml:space="preserve"> </w:t>
      </w:r>
      <w:r>
        <w:t xml:space="preserve">A </w:t>
      </w:r>
      <w:r w:rsidR="00490D7C">
        <w:t xml:space="preserve">historical-critical inquiry </w:t>
      </w:r>
      <w:r w:rsidR="00EC5AF9">
        <w:t>of the Qur</w:t>
      </w:r>
      <w:r w:rsidR="00967E3D">
        <w:t>’</w:t>
      </w:r>
      <w:r w:rsidR="00EC5AF9">
        <w:t xml:space="preserve">an </w:t>
      </w:r>
      <w:r>
        <w:t xml:space="preserve">that is informed by the unfortunate legacy of certain Orientalists </w:t>
      </w:r>
      <w:r w:rsidR="00490D7C">
        <w:t xml:space="preserve">need not </w:t>
      </w:r>
      <w:r>
        <w:t xml:space="preserve">generate any </w:t>
      </w:r>
      <w:r w:rsidR="00490D7C">
        <w:t xml:space="preserve">bias against Islam any more than </w:t>
      </w:r>
      <w:r>
        <w:t>the critical</w:t>
      </w:r>
      <w:r w:rsidR="00EC5AF9">
        <w:t xml:space="preserve"> </w:t>
      </w:r>
      <w:r>
        <w:t xml:space="preserve">investigation of </w:t>
      </w:r>
      <w:r w:rsidR="00490D7C">
        <w:t xml:space="preserve">the </w:t>
      </w:r>
      <w:r w:rsidR="00EC5AF9">
        <w:t xml:space="preserve">Hebrew </w:t>
      </w:r>
      <w:r w:rsidR="00490D7C">
        <w:t xml:space="preserve">Bible </w:t>
      </w:r>
      <w:r>
        <w:t xml:space="preserve">and </w:t>
      </w:r>
      <w:r w:rsidR="00490D7C">
        <w:t xml:space="preserve">the Talmud </w:t>
      </w:r>
      <w:r>
        <w:t xml:space="preserve">today </w:t>
      </w:r>
      <w:r w:rsidR="00EC5AF9">
        <w:t>promote</w:t>
      </w:r>
      <w:r>
        <w:t>s</w:t>
      </w:r>
      <w:r w:rsidR="00EC5AF9">
        <w:t xml:space="preserve"> </w:t>
      </w:r>
      <w:r w:rsidR="00490D7C">
        <w:t xml:space="preserve">anti-Semitism. In fact </w:t>
      </w:r>
      <w:r w:rsidR="006769C3">
        <w:t xml:space="preserve">the </w:t>
      </w:r>
      <w:r w:rsidR="0040563D">
        <w:t xml:space="preserve">new </w:t>
      </w:r>
      <w:r w:rsidR="006769C3">
        <w:t xml:space="preserve">historical-critical </w:t>
      </w:r>
      <w:r w:rsidR="0040563D">
        <w:t xml:space="preserve">perspectives </w:t>
      </w:r>
      <w:r w:rsidR="006769C3">
        <w:t>o</w:t>
      </w:r>
      <w:r w:rsidR="00EC5AF9">
        <w:t>n</w:t>
      </w:r>
      <w:r w:rsidR="006769C3">
        <w:t xml:space="preserve"> the New Testament </w:t>
      </w:r>
      <w:r w:rsidR="0040563D">
        <w:t xml:space="preserve">have </w:t>
      </w:r>
      <w:r w:rsidR="00490D7C">
        <w:t>coincide</w:t>
      </w:r>
      <w:r w:rsidR="006769C3">
        <w:t>d</w:t>
      </w:r>
      <w:r w:rsidR="00490D7C">
        <w:t xml:space="preserve"> with </w:t>
      </w:r>
      <w:r w:rsidR="006769C3">
        <w:t xml:space="preserve">the </w:t>
      </w:r>
      <w:r w:rsidR="00490D7C">
        <w:t xml:space="preserve">improvement in contemporary Jewish-Christian relations. We cannot pretend that the two phenomena are </w:t>
      </w:r>
      <w:r w:rsidR="00306B4A">
        <w:t xml:space="preserve">entirely </w:t>
      </w:r>
      <w:r w:rsidR="00490D7C">
        <w:t xml:space="preserve">unrelated. </w:t>
      </w:r>
      <w:r w:rsidR="00BE215B">
        <w:t xml:space="preserve">The </w:t>
      </w:r>
      <w:r w:rsidR="00781DA3">
        <w:t xml:space="preserve">recent </w:t>
      </w:r>
      <w:r w:rsidR="00BE215B">
        <w:t xml:space="preserve">publication of </w:t>
      </w:r>
      <w:r w:rsidR="00BE215B">
        <w:rPr>
          <w:i/>
          <w:iCs/>
        </w:rPr>
        <w:t xml:space="preserve">The Jewish </w:t>
      </w:r>
      <w:r w:rsidR="0040563D">
        <w:rPr>
          <w:i/>
          <w:iCs/>
        </w:rPr>
        <w:t xml:space="preserve">Annotated </w:t>
      </w:r>
      <w:r w:rsidR="00BE215B">
        <w:rPr>
          <w:i/>
          <w:iCs/>
        </w:rPr>
        <w:t>New Testament</w:t>
      </w:r>
      <w:r w:rsidR="00BE215B">
        <w:t xml:space="preserve">, which </w:t>
      </w:r>
      <w:r w:rsidR="00FE172A">
        <w:t xml:space="preserve">targets </w:t>
      </w:r>
      <w:r w:rsidR="00BE215B">
        <w:t xml:space="preserve">Jewish and Christian </w:t>
      </w:r>
      <w:r w:rsidR="00FE172A">
        <w:t xml:space="preserve">readers </w:t>
      </w:r>
      <w:r w:rsidR="00781DA3">
        <w:t>alike</w:t>
      </w:r>
      <w:r w:rsidR="00BE215B">
        <w:t xml:space="preserve">, </w:t>
      </w:r>
      <w:r w:rsidR="00FE172A">
        <w:t xml:space="preserve">corrects </w:t>
      </w:r>
      <w:r w:rsidR="00EC5AF9">
        <w:t xml:space="preserve">erroneous understandings </w:t>
      </w:r>
      <w:r w:rsidR="00FE172A">
        <w:t xml:space="preserve">about </w:t>
      </w:r>
      <w:r w:rsidR="00EC5AF9">
        <w:t>early Judaism while drawing</w:t>
      </w:r>
      <w:r w:rsidR="00BE215B">
        <w:t xml:space="preserve"> from critical scholarship.</w:t>
      </w:r>
      <w:r w:rsidR="00E321D1">
        <w:rPr>
          <w:rStyle w:val="FootnoteReference"/>
        </w:rPr>
        <w:footnoteReference w:id="53"/>
      </w:r>
      <w:r w:rsidR="00BE215B">
        <w:t xml:space="preserve"> Historical inquiry and ecumenical </w:t>
      </w:r>
      <w:r w:rsidR="006769C3">
        <w:t xml:space="preserve">pursuits </w:t>
      </w:r>
      <w:r w:rsidR="00BE215B">
        <w:t xml:space="preserve">are </w:t>
      </w:r>
      <w:r w:rsidR="00E321D1">
        <w:t xml:space="preserve">not </w:t>
      </w:r>
      <w:r w:rsidR="004D6C86">
        <w:t xml:space="preserve">by definition </w:t>
      </w:r>
      <w:r w:rsidR="006769C3">
        <w:t>hostile to one another</w:t>
      </w:r>
      <w:r w:rsidR="00E321D1">
        <w:t xml:space="preserve"> nor must they operate in concerted alliance.</w:t>
      </w:r>
      <w:r w:rsidR="006769C3">
        <w:t xml:space="preserve"> </w:t>
      </w:r>
      <w:r w:rsidR="00E321D1">
        <w:t>In fact, seeing that the Qur</w:t>
      </w:r>
      <w:r w:rsidR="00EC5AF9">
        <w:t>’</w:t>
      </w:r>
      <w:r w:rsidR="00E321D1">
        <w:t xml:space="preserve">an appears to be a real treasure trove filled with Jewish </w:t>
      </w:r>
      <w:r w:rsidR="00E321D1" w:rsidRPr="006A73FD">
        <w:rPr>
          <w:i/>
          <w:iCs/>
        </w:rPr>
        <w:t>and</w:t>
      </w:r>
      <w:r w:rsidR="00E321D1">
        <w:t xml:space="preserve"> Christian materials that have been reworked according to the Quranic genius, I cannot avoid </w:t>
      </w:r>
      <w:r w:rsidR="00FE172A">
        <w:t xml:space="preserve">ascribing </w:t>
      </w:r>
      <w:r w:rsidR="00E321D1">
        <w:t xml:space="preserve">a certain </w:t>
      </w:r>
      <w:r w:rsidR="006A73FD">
        <w:t>value</w:t>
      </w:r>
      <w:r w:rsidR="00834E0E">
        <w:t>,</w:t>
      </w:r>
      <w:r w:rsidR="006A73FD">
        <w:t xml:space="preserve"> </w:t>
      </w:r>
      <w:r w:rsidR="00834E0E">
        <w:t xml:space="preserve">whether for historical inquiry or ecumenical dialogue, </w:t>
      </w:r>
      <w:r w:rsidR="00E321D1">
        <w:t xml:space="preserve">in </w:t>
      </w:r>
      <w:r w:rsidR="00834E0E">
        <w:t xml:space="preserve">viewing </w:t>
      </w:r>
      <w:r w:rsidR="00E321D1">
        <w:t xml:space="preserve">Islam as a “Jewish-Christianity” in the same way that </w:t>
      </w:r>
      <w:r w:rsidR="00E321D1">
        <w:lastRenderedPageBreak/>
        <w:t xml:space="preserve">(early) Christianity has </w:t>
      </w:r>
      <w:r w:rsidR="006A73FD">
        <w:t xml:space="preserve">come to </w:t>
      </w:r>
      <w:r w:rsidR="00E321D1">
        <w:t xml:space="preserve">be </w:t>
      </w:r>
      <w:r w:rsidR="00781DA3">
        <w:t xml:space="preserve">understood </w:t>
      </w:r>
      <w:r w:rsidR="00FE172A">
        <w:t xml:space="preserve">in a certain sense </w:t>
      </w:r>
      <w:r w:rsidR="00E321D1">
        <w:t xml:space="preserve">as (still) </w:t>
      </w:r>
      <w:r w:rsidR="00FE172A">
        <w:t xml:space="preserve">constituting </w:t>
      </w:r>
      <w:r w:rsidR="00E321D1">
        <w:t xml:space="preserve">a </w:t>
      </w:r>
      <w:r w:rsidR="00834E0E">
        <w:t>(</w:t>
      </w:r>
      <w:r w:rsidR="00E321D1">
        <w:t>Christian</w:t>
      </w:r>
      <w:r w:rsidR="00834E0E">
        <w:t>)</w:t>
      </w:r>
      <w:r w:rsidR="00E321D1">
        <w:t xml:space="preserve"> </w:t>
      </w:r>
      <w:r w:rsidR="00834E0E">
        <w:t>“</w:t>
      </w:r>
      <w:r w:rsidR="00E321D1">
        <w:t>Judaism</w:t>
      </w:r>
      <w:r w:rsidR="00834E0E">
        <w:t>.</w:t>
      </w:r>
      <w:r w:rsidR="00E321D1">
        <w:t>”</w:t>
      </w:r>
      <w:r w:rsidR="004D6C86">
        <w:t xml:space="preserve"> </w:t>
      </w:r>
      <w:r w:rsidR="00781DA3">
        <w:t xml:space="preserve">I do not mean </w:t>
      </w:r>
      <w:r w:rsidR="006A73FD">
        <w:t>that Islam emerged as a “Jewish Christian” sect, as some scholars have speculated,</w:t>
      </w:r>
      <w:r w:rsidR="006A73FD">
        <w:rPr>
          <w:rStyle w:val="FootnoteReference"/>
        </w:rPr>
        <w:footnoteReference w:id="54"/>
      </w:r>
      <w:r w:rsidR="006A73FD">
        <w:t xml:space="preserve"> or that </w:t>
      </w:r>
      <w:r w:rsidR="00781DA3">
        <w:t xml:space="preserve">Islam </w:t>
      </w:r>
      <w:r w:rsidR="006A73FD">
        <w:t>passively “borrowed” from Judaism and Christianity</w:t>
      </w:r>
      <w:r w:rsidR="00781DA3">
        <w:t>,</w:t>
      </w:r>
      <w:r w:rsidR="007E6DBB">
        <w:rPr>
          <w:rStyle w:val="FootnoteReference"/>
        </w:rPr>
        <w:footnoteReference w:id="55"/>
      </w:r>
      <w:r w:rsidR="00781DA3">
        <w:t xml:space="preserve"> or, finally, that the three “monotheistic traditions” are essentially one and the same throughout time and space</w:t>
      </w:r>
      <w:r w:rsidR="006A73FD">
        <w:t xml:space="preserve">. </w:t>
      </w:r>
      <w:r w:rsidR="00394269">
        <w:t>Rather, v</w:t>
      </w:r>
      <w:r w:rsidR="00781DA3">
        <w:t>iewing Islam</w:t>
      </w:r>
      <w:r w:rsidR="00394269">
        <w:t xml:space="preserve"> </w:t>
      </w:r>
      <w:r w:rsidR="00781DA3">
        <w:t xml:space="preserve">as a “Jewish-Christianity” </w:t>
      </w:r>
      <w:r w:rsidR="006A73FD">
        <w:t>underscore</w:t>
      </w:r>
      <w:r w:rsidR="00781DA3">
        <w:t>s</w:t>
      </w:r>
      <w:r w:rsidR="006A73FD">
        <w:t xml:space="preserve"> the </w:t>
      </w:r>
      <w:r w:rsidR="00781DA3">
        <w:t xml:space="preserve">fact that the </w:t>
      </w:r>
      <w:r w:rsidR="006A73FD">
        <w:t>first protagonists of Islam were products and producers of their time and space</w:t>
      </w:r>
      <w:r w:rsidR="00FE172A">
        <w:t xml:space="preserve">, </w:t>
      </w:r>
      <w:r w:rsidR="00781DA3">
        <w:t>which naturally included encounters with Jewish and Christian ideas</w:t>
      </w:r>
      <w:r w:rsidR="006A73FD">
        <w:t xml:space="preserve">. </w:t>
      </w:r>
      <w:r w:rsidR="00E321D1">
        <w:t xml:space="preserve">This </w:t>
      </w:r>
      <w:r w:rsidR="004D6C86">
        <w:t>categorization</w:t>
      </w:r>
      <w:r w:rsidR="00E321D1">
        <w:t xml:space="preserve">, though potentially troubling for many </w:t>
      </w:r>
      <w:r w:rsidR="00D02CC7">
        <w:t xml:space="preserve">contemporary </w:t>
      </w:r>
      <w:r w:rsidR="00E321D1">
        <w:t>Jews, Christians, and Muslims, could ultimately lead to a greater rapprochement between Judaism, Christianity, and Islam. Jews and Christians use</w:t>
      </w:r>
      <w:r w:rsidR="00D02CC7">
        <w:t>d</w:t>
      </w:r>
      <w:r w:rsidR="00E321D1">
        <w:t xml:space="preserve"> to viewing Islam </w:t>
      </w:r>
      <w:r w:rsidR="004D6C86">
        <w:t xml:space="preserve">as </w:t>
      </w:r>
      <w:r w:rsidR="00E321D1">
        <w:t>the “</w:t>
      </w:r>
      <w:r w:rsidR="00D02CC7">
        <w:t xml:space="preserve">Oriental </w:t>
      </w:r>
      <w:r w:rsidR="00E321D1">
        <w:t xml:space="preserve">Other” </w:t>
      </w:r>
      <w:r w:rsidR="004D6C86">
        <w:t xml:space="preserve">would </w:t>
      </w:r>
      <w:r w:rsidR="00E321D1">
        <w:t>have to recognize that the Qur</w:t>
      </w:r>
      <w:r w:rsidR="00D02CC7">
        <w:t>’</w:t>
      </w:r>
      <w:r w:rsidR="00E321D1">
        <w:t xml:space="preserve">an </w:t>
      </w:r>
      <w:r w:rsidR="006A73FD">
        <w:t xml:space="preserve">is </w:t>
      </w:r>
      <w:r w:rsidR="00295209">
        <w:t xml:space="preserve">in a certain sense </w:t>
      </w:r>
      <w:r w:rsidR="00E321D1">
        <w:t xml:space="preserve">Jewish and Christian. Many Muslims, for their part, </w:t>
      </w:r>
      <w:r w:rsidR="004D6C86">
        <w:t xml:space="preserve">would </w:t>
      </w:r>
      <w:r w:rsidR="00E321D1">
        <w:t>have to realize that this shared heritage is inscribed in the Quranic foundation of Islam.</w:t>
      </w:r>
      <w:r w:rsidR="006A73FD">
        <w:rPr>
          <w:rStyle w:val="FootnoteReference"/>
        </w:rPr>
        <w:footnoteReference w:id="56"/>
      </w:r>
    </w:p>
    <w:p w14:paraId="2173704D" w14:textId="77777777" w:rsidR="004102E9" w:rsidRDefault="004102E9" w:rsidP="004102E9">
      <w:pPr>
        <w:tabs>
          <w:tab w:val="left" w:pos="3999"/>
          <w:tab w:val="center" w:pos="5040"/>
        </w:tabs>
        <w:ind w:firstLine="720"/>
      </w:pPr>
      <w:r>
        <w:tab/>
      </w:r>
    </w:p>
    <w:p w14:paraId="64A7FCE2" w14:textId="77777777" w:rsidR="00832201" w:rsidRDefault="004102E9" w:rsidP="004102E9">
      <w:pPr>
        <w:tabs>
          <w:tab w:val="left" w:pos="3999"/>
          <w:tab w:val="center" w:pos="5040"/>
        </w:tabs>
        <w:ind w:firstLine="720"/>
      </w:pPr>
      <w:r>
        <w:tab/>
      </w:r>
      <w:r w:rsidR="00721630">
        <w:t>List of References</w:t>
      </w:r>
    </w:p>
    <w:p w14:paraId="1B9D4BD0" w14:textId="046B4B99" w:rsidR="00F14C62" w:rsidRPr="00F14C62" w:rsidRDefault="00F14C62" w:rsidP="00DF3990">
      <w:pPr>
        <w:ind w:left="720" w:hanging="720"/>
      </w:pPr>
      <w:r w:rsidRPr="00F14C62">
        <w:t>Abdel</w:t>
      </w:r>
      <w:r w:rsidR="00DF3990">
        <w:t xml:space="preserve"> </w:t>
      </w:r>
      <w:r w:rsidRPr="00F14C62">
        <w:t xml:space="preserve">Haleem, M. A. S. </w:t>
      </w:r>
      <w:r w:rsidRPr="00F14C62">
        <w:rPr>
          <w:i/>
          <w:iCs/>
        </w:rPr>
        <w:t xml:space="preserve">The Qur’an. </w:t>
      </w:r>
      <w:r>
        <w:t>Oxford: Oxford University Press, 2008.</w:t>
      </w:r>
    </w:p>
    <w:p w14:paraId="7C7218A4" w14:textId="77777777" w:rsidR="003252DD" w:rsidRDefault="00AB5EB6" w:rsidP="00DB65C0">
      <w:pPr>
        <w:ind w:left="720" w:hanging="720"/>
      </w:pPr>
      <w:proofErr w:type="spellStart"/>
      <w:r>
        <w:t>Arberry</w:t>
      </w:r>
      <w:proofErr w:type="spellEnd"/>
      <w:r>
        <w:t xml:space="preserve">, Arthur John. </w:t>
      </w:r>
      <w:r>
        <w:rPr>
          <w:i/>
          <w:iCs/>
        </w:rPr>
        <w:t>The Koran Interpreted</w:t>
      </w:r>
      <w:r>
        <w:t>.</w:t>
      </w:r>
      <w:r>
        <w:rPr>
          <w:i/>
          <w:iCs/>
        </w:rPr>
        <w:t xml:space="preserve"> </w:t>
      </w:r>
      <w:r>
        <w:t>New York: Touchstone, 1996.</w:t>
      </w:r>
    </w:p>
    <w:p w14:paraId="4028409E" w14:textId="77777777" w:rsidR="003252DD" w:rsidRPr="00AB5EB6" w:rsidRDefault="003252DD" w:rsidP="00DB65C0">
      <w:pPr>
        <w:ind w:left="720" w:hanging="720"/>
      </w:pPr>
      <w:r>
        <w:t xml:space="preserve">Armstrong, Karen. </w:t>
      </w:r>
      <w:r>
        <w:rPr>
          <w:i/>
          <w:iCs/>
        </w:rPr>
        <w:t>Muhammad: A Prophet for Our Time</w:t>
      </w:r>
      <w:r>
        <w:t xml:space="preserve">. </w:t>
      </w:r>
      <w:r w:rsidRPr="00AB5EB6">
        <w:t>San Francisco: HarperOne, 2007.</w:t>
      </w:r>
    </w:p>
    <w:p w14:paraId="6343BCBF" w14:textId="77777777" w:rsidR="00A00C5D" w:rsidRDefault="00A00C5D" w:rsidP="00A00C5D">
      <w:pPr>
        <w:ind w:left="720" w:hanging="720"/>
        <w:rPr>
          <w:rStyle w:val="mdash"/>
        </w:rPr>
      </w:pPr>
      <w:r>
        <w:rPr>
          <w:rStyle w:val="mdash"/>
        </w:rPr>
        <w:t>———</w:t>
      </w:r>
      <w:r>
        <w:t xml:space="preserve">.  </w:t>
      </w:r>
      <w:r>
        <w:rPr>
          <w:i/>
          <w:iCs/>
        </w:rPr>
        <w:t>A History of God</w:t>
      </w:r>
      <w:r>
        <w:t>. New York: Ballantine Books, 1993.</w:t>
      </w:r>
    </w:p>
    <w:p w14:paraId="38ACD2F0" w14:textId="77777777" w:rsidR="003252DD" w:rsidRPr="00295209" w:rsidRDefault="0047238E" w:rsidP="00DB65C0">
      <w:pPr>
        <w:ind w:left="720" w:hanging="720"/>
        <w:rPr>
          <w:lang w:val="it-IT"/>
        </w:rPr>
      </w:pPr>
      <w:r>
        <w:rPr>
          <w:rStyle w:val="mdash"/>
        </w:rPr>
        <w:lastRenderedPageBreak/>
        <w:t>———</w:t>
      </w:r>
      <w:r>
        <w:t xml:space="preserve">. </w:t>
      </w:r>
      <w:r w:rsidR="003252DD">
        <w:rPr>
          <w:i/>
          <w:iCs/>
        </w:rPr>
        <w:t xml:space="preserve">Muhammad: A Biography of the Prophet. </w:t>
      </w:r>
      <w:r w:rsidR="003252DD" w:rsidRPr="00295209">
        <w:rPr>
          <w:lang w:val="it-IT"/>
        </w:rPr>
        <w:t>San Francisco: HarperCollins, 1992.</w:t>
      </w:r>
    </w:p>
    <w:p w14:paraId="7FB2EB67" w14:textId="77777777" w:rsidR="00AB64DE" w:rsidRPr="00AB64DE" w:rsidRDefault="00AB64DE" w:rsidP="00DB65C0">
      <w:pPr>
        <w:ind w:left="720" w:hanging="720"/>
      </w:pPr>
      <w:r>
        <w:t>Bock</w:t>
      </w:r>
      <w:r w:rsidRPr="00A24B68">
        <w:t xml:space="preserve">, </w:t>
      </w:r>
      <w:r>
        <w:t xml:space="preserve">Darrell L. </w:t>
      </w:r>
      <w:r w:rsidRPr="00A24B68">
        <w:t>“The Historical Jesus: An Evangelical View</w:t>
      </w:r>
      <w:r>
        <w:t>.</w:t>
      </w:r>
      <w:r w:rsidRPr="00A24B68">
        <w:t xml:space="preserve">” </w:t>
      </w:r>
      <w:r>
        <w:t xml:space="preserve">Pages 249–81. </w:t>
      </w:r>
      <w:r w:rsidRPr="00A24B68">
        <w:rPr>
          <w:i/>
          <w:iCs/>
        </w:rPr>
        <w:t>The Historical Jesus: Five Views</w:t>
      </w:r>
      <w:r>
        <w:t>.</w:t>
      </w:r>
      <w:r w:rsidRPr="00A24B68">
        <w:rPr>
          <w:i/>
          <w:iCs/>
        </w:rPr>
        <w:t xml:space="preserve"> </w:t>
      </w:r>
      <w:r>
        <w:t xml:space="preserve">Edited by James K. Beilby and Paul R. Eddy. Downers Grove, Ill.: </w:t>
      </w:r>
      <w:r w:rsidRPr="00A24B68">
        <w:t>I</w:t>
      </w:r>
      <w:r>
        <w:t xml:space="preserve">nter </w:t>
      </w:r>
      <w:r w:rsidRPr="00A24B68">
        <w:t>V</w:t>
      </w:r>
      <w:r>
        <w:t xml:space="preserve">arsity </w:t>
      </w:r>
      <w:r w:rsidRPr="00A24B68">
        <w:t>P</w:t>
      </w:r>
      <w:r>
        <w:t>ress</w:t>
      </w:r>
      <w:r w:rsidRPr="00A24B68">
        <w:t>, 2009</w:t>
      </w:r>
      <w:r>
        <w:t xml:space="preserve">. </w:t>
      </w:r>
    </w:p>
    <w:p w14:paraId="0DFDBAD8" w14:textId="77777777" w:rsidR="00D02CC7" w:rsidRDefault="00D02CC7" w:rsidP="00DB65C0">
      <w:pPr>
        <w:ind w:left="720" w:hanging="720"/>
      </w:pPr>
      <w:r w:rsidRPr="00832201">
        <w:rPr>
          <w:rStyle w:val="Strong"/>
          <w:b w:val="0"/>
          <w:bCs w:val="0"/>
        </w:rPr>
        <w:t xml:space="preserve">Brettler, </w:t>
      </w:r>
      <w:r>
        <w:rPr>
          <w:rStyle w:val="Strong"/>
          <w:b w:val="0"/>
          <w:bCs w:val="0"/>
        </w:rPr>
        <w:t xml:space="preserve">Marc Zvi, </w:t>
      </w:r>
      <w:r w:rsidRPr="00832201">
        <w:rPr>
          <w:rStyle w:val="Strong"/>
          <w:b w:val="0"/>
          <w:bCs w:val="0"/>
        </w:rPr>
        <w:t xml:space="preserve">Peter Enns, </w:t>
      </w:r>
      <w:r>
        <w:rPr>
          <w:rStyle w:val="Strong"/>
          <w:b w:val="0"/>
          <w:bCs w:val="0"/>
        </w:rPr>
        <w:t xml:space="preserve">and </w:t>
      </w:r>
      <w:r w:rsidRPr="00832201">
        <w:rPr>
          <w:rStyle w:val="Strong"/>
          <w:b w:val="0"/>
          <w:bCs w:val="0"/>
        </w:rPr>
        <w:t>Daniel J. Harrington,</w:t>
      </w:r>
      <w:r w:rsidRPr="00832201">
        <w:t xml:space="preserve"> </w:t>
      </w:r>
      <w:r>
        <w:rPr>
          <w:rStyle w:val="Emphasis"/>
        </w:rPr>
        <w:t>The Bible and the Believer: How to Read the Bible Critically and Religiously</w:t>
      </w:r>
      <w:r w:rsidR="00394269">
        <w:rPr>
          <w:rStyle w:val="Emphasis"/>
          <w:i w:val="0"/>
          <w:iCs w:val="0"/>
        </w:rPr>
        <w:t>.</w:t>
      </w:r>
      <w:r>
        <w:t xml:space="preserve"> </w:t>
      </w:r>
      <w:r w:rsidR="00394269">
        <w:t>Oxford</w:t>
      </w:r>
      <w:r>
        <w:t>: Oxford University Press, 2013</w:t>
      </w:r>
      <w:r w:rsidR="00394269">
        <w:t>.</w:t>
      </w:r>
    </w:p>
    <w:p w14:paraId="59F59DA6" w14:textId="77777777" w:rsidR="00D02CC7" w:rsidRPr="00D02CC7" w:rsidRDefault="00D02CC7" w:rsidP="00DB65C0">
      <w:pPr>
        <w:ind w:left="720" w:hanging="720"/>
      </w:pPr>
      <w:r>
        <w:t xml:space="preserve">Brettler, Marc Zvi, and Amy-Jill Levine, editors. </w:t>
      </w:r>
      <w:r>
        <w:rPr>
          <w:i/>
          <w:iCs/>
        </w:rPr>
        <w:t xml:space="preserve">The Jewish Annotated New Testament. </w:t>
      </w:r>
      <w:r>
        <w:t>Oxford: Oxford University Press, 2011.</w:t>
      </w:r>
    </w:p>
    <w:p w14:paraId="3EADD773" w14:textId="77777777" w:rsidR="00643C60" w:rsidRDefault="00643C60" w:rsidP="00DB65C0">
      <w:pPr>
        <w:ind w:left="720" w:hanging="720"/>
      </w:pPr>
      <w:r>
        <w:t>Brown, Francis</w:t>
      </w:r>
      <w:r w:rsidR="004102E9">
        <w:t xml:space="preserve">, </w:t>
      </w:r>
      <w:r>
        <w:t xml:space="preserve">S. R. Driver, and Charles A. Briggs, </w:t>
      </w:r>
      <w:r w:rsidR="004102E9">
        <w:t xml:space="preserve">editors. </w:t>
      </w:r>
      <w:r>
        <w:rPr>
          <w:i/>
          <w:iCs/>
        </w:rPr>
        <w:t>The Brown-Driver-Briggs Hebrew and English Lexicon</w:t>
      </w:r>
      <w:r w:rsidR="004102E9">
        <w:t>.</w:t>
      </w:r>
      <w:r>
        <w:t xml:space="preserve"> Oxford: Clarendon, 1907.  </w:t>
      </w:r>
    </w:p>
    <w:p w14:paraId="2E2F3111" w14:textId="77777777" w:rsidR="0047238E" w:rsidRPr="0047238E" w:rsidRDefault="0047238E" w:rsidP="00DB65C0">
      <w:pPr>
        <w:ind w:left="720" w:hanging="720"/>
      </w:pPr>
      <w:r>
        <w:t xml:space="preserve">Crone, Patricia. </w:t>
      </w:r>
      <w:r>
        <w:rPr>
          <w:i/>
          <w:iCs/>
        </w:rPr>
        <w:t>Meccan Trade and the Rise of Islam</w:t>
      </w:r>
      <w:r>
        <w:t>. Princeton, NJ: Princeton University Press, 1987.</w:t>
      </w:r>
    </w:p>
    <w:p w14:paraId="637A2E4B" w14:textId="77777777" w:rsidR="000C49DC" w:rsidRPr="000C49DC" w:rsidRDefault="000C49DC" w:rsidP="00DB65C0">
      <w:pPr>
        <w:ind w:left="720" w:hanging="720"/>
      </w:pPr>
      <w:r>
        <w:t xml:space="preserve">Dawood, </w:t>
      </w:r>
      <w:proofErr w:type="spellStart"/>
      <w:r>
        <w:t>N</w:t>
      </w:r>
      <w:r w:rsidR="00AB5EB6">
        <w:t>essim</w:t>
      </w:r>
      <w:proofErr w:type="spellEnd"/>
      <w:r w:rsidR="00AB5EB6">
        <w:t xml:space="preserve"> </w:t>
      </w:r>
      <w:r>
        <w:t>J</w:t>
      </w:r>
      <w:r w:rsidR="00AB5EB6">
        <w:t>oseph</w:t>
      </w:r>
      <w:r>
        <w:t xml:space="preserve">. </w:t>
      </w:r>
      <w:r>
        <w:rPr>
          <w:i/>
          <w:iCs/>
        </w:rPr>
        <w:t xml:space="preserve">The Koran. </w:t>
      </w:r>
      <w:r>
        <w:t>New York: Penguin Press, 2006.</w:t>
      </w:r>
    </w:p>
    <w:p w14:paraId="614EDA45" w14:textId="77777777" w:rsidR="003F2714" w:rsidRDefault="003F2714" w:rsidP="00DB65C0">
      <w:pPr>
        <w:ind w:left="720" w:hanging="720"/>
      </w:pPr>
      <w:proofErr w:type="spellStart"/>
      <w:r w:rsidRPr="00C02296">
        <w:t>Dozeman</w:t>
      </w:r>
      <w:proofErr w:type="spellEnd"/>
      <w:r w:rsidRPr="00C02296">
        <w:t xml:space="preserve">, Thomas B., Konrad Schmid, and Baruch J. Schwartz, editors. </w:t>
      </w:r>
      <w:r>
        <w:rPr>
          <w:i/>
          <w:iCs/>
        </w:rPr>
        <w:t>The Pentateuch: International Perspectives on Current Research</w:t>
      </w:r>
      <w:r>
        <w:t xml:space="preserve">. </w:t>
      </w:r>
      <w:proofErr w:type="spellStart"/>
      <w:r>
        <w:t>F</w:t>
      </w:r>
      <w:r w:rsidR="00BD71DC">
        <w:t>orschungen</w:t>
      </w:r>
      <w:proofErr w:type="spellEnd"/>
      <w:r w:rsidR="00BD71DC">
        <w:t xml:space="preserve"> </w:t>
      </w:r>
      <w:proofErr w:type="spellStart"/>
      <w:r w:rsidR="00BD71DC">
        <w:t>zum</w:t>
      </w:r>
      <w:proofErr w:type="spellEnd"/>
      <w:r w:rsidR="00BD71DC">
        <w:t xml:space="preserve"> </w:t>
      </w:r>
      <w:proofErr w:type="spellStart"/>
      <w:r>
        <w:t>A</w:t>
      </w:r>
      <w:r w:rsidR="00BD71DC">
        <w:t>lten</w:t>
      </w:r>
      <w:proofErr w:type="spellEnd"/>
      <w:r w:rsidR="00BD71DC">
        <w:t xml:space="preserve"> </w:t>
      </w:r>
      <w:r>
        <w:t>T</w:t>
      </w:r>
      <w:r w:rsidR="00BD71DC">
        <w:t>estament 78. T</w:t>
      </w:r>
      <w:r w:rsidR="00BD71DC" w:rsidRPr="00ED284C">
        <w:t xml:space="preserve">übingen: </w:t>
      </w:r>
      <w:r>
        <w:t>Mohr Siebeck, 2011.</w:t>
      </w:r>
    </w:p>
    <w:p w14:paraId="29187FE8" w14:textId="77777777" w:rsidR="003252DD" w:rsidRDefault="003252DD" w:rsidP="00DB65C0">
      <w:pPr>
        <w:ind w:left="720" w:hanging="720"/>
      </w:pPr>
      <w:r>
        <w:t xml:space="preserve">Coogan, Michael D. </w:t>
      </w:r>
      <w:r>
        <w:rPr>
          <w:i/>
          <w:iCs/>
        </w:rPr>
        <w:t>The Old Testament: Historical and Literary Introduction to the Hebrew Scriptures</w:t>
      </w:r>
      <w:r>
        <w:t>. Oxford: Oxford University Press, 2013.</w:t>
      </w:r>
    </w:p>
    <w:p w14:paraId="2BEF9DE8" w14:textId="77777777" w:rsidR="003252DD" w:rsidRDefault="003252DD" w:rsidP="00DB65C0">
      <w:pPr>
        <w:ind w:left="720" w:hanging="720"/>
      </w:pPr>
      <w:r>
        <w:t xml:space="preserve">Coogan, Michael D., Marc Z. Brettler, and Carol Newsom, editors. </w:t>
      </w:r>
      <w:r>
        <w:rPr>
          <w:i/>
          <w:iCs/>
        </w:rPr>
        <w:t xml:space="preserve">The New Oxford Annotated Bible. </w:t>
      </w:r>
      <w:r>
        <w:t>Oxford: Oxford University Press, 2010.</w:t>
      </w:r>
    </w:p>
    <w:p w14:paraId="228990B8" w14:textId="77777777" w:rsidR="0047238E" w:rsidRDefault="0047238E" w:rsidP="00DB65C0">
      <w:pPr>
        <w:ind w:left="720" w:hanging="720"/>
      </w:pPr>
      <w:r>
        <w:t xml:space="preserve">Cook, Michael. </w:t>
      </w:r>
      <w:r>
        <w:rPr>
          <w:i/>
          <w:iCs/>
        </w:rPr>
        <w:t>Muhammad</w:t>
      </w:r>
      <w:r>
        <w:t>.</w:t>
      </w:r>
      <w:r>
        <w:rPr>
          <w:i/>
          <w:iCs/>
        </w:rPr>
        <w:t xml:space="preserve"> </w:t>
      </w:r>
      <w:r>
        <w:t>Oxford: Oxford University Press, 1983.</w:t>
      </w:r>
    </w:p>
    <w:p w14:paraId="08E16858" w14:textId="68263515" w:rsidR="00EC4AF1" w:rsidRPr="00EC4AF1" w:rsidRDefault="00EC4AF1" w:rsidP="00DB65C0">
      <w:pPr>
        <w:ind w:left="720" w:hanging="720"/>
      </w:pPr>
      <w:r>
        <w:t xml:space="preserve">Crone, Patricia. </w:t>
      </w:r>
      <w:r>
        <w:rPr>
          <w:i/>
          <w:iCs/>
        </w:rPr>
        <w:t xml:space="preserve">Meccan Trade and the Rise of Islam. </w:t>
      </w:r>
      <w:r>
        <w:t>Princeton, NJ: Princeton University Press, 1987.</w:t>
      </w:r>
    </w:p>
    <w:p w14:paraId="1281A89B" w14:textId="77777777" w:rsidR="00440494" w:rsidRPr="003252DD" w:rsidRDefault="00440494" w:rsidP="00DB65C0">
      <w:pPr>
        <w:ind w:left="720" w:hanging="720"/>
      </w:pPr>
      <w:proofErr w:type="spellStart"/>
      <w:r>
        <w:t>Droge</w:t>
      </w:r>
      <w:proofErr w:type="spellEnd"/>
      <w:r>
        <w:t>, A</w:t>
      </w:r>
      <w:r w:rsidR="00FA7559">
        <w:t>rthur</w:t>
      </w:r>
      <w:r>
        <w:t xml:space="preserve"> J. </w:t>
      </w:r>
      <w:r>
        <w:rPr>
          <w:i/>
          <w:iCs/>
        </w:rPr>
        <w:t>The Qur’</w:t>
      </w:r>
      <w:r>
        <w:rPr>
          <w:rFonts w:cs="Times New Roman"/>
          <w:i/>
          <w:iCs/>
        </w:rPr>
        <w:t>ā</w:t>
      </w:r>
      <w:r>
        <w:rPr>
          <w:i/>
          <w:iCs/>
        </w:rPr>
        <w:t>n: A New Annotated Translation</w:t>
      </w:r>
      <w:r>
        <w:t>. Sheffield: Equinox, 2013.</w:t>
      </w:r>
    </w:p>
    <w:p w14:paraId="132DF9E9" w14:textId="77777777" w:rsidR="003252DD" w:rsidRDefault="003252DD" w:rsidP="00DB65C0">
      <w:pPr>
        <w:ind w:left="720" w:hanging="720"/>
      </w:pPr>
      <w:r>
        <w:t xml:space="preserve">Ehrman, Bart. </w:t>
      </w:r>
      <w:r>
        <w:rPr>
          <w:i/>
          <w:iCs/>
        </w:rPr>
        <w:t>The New Testament: A Historical Introduction to the Early Christian Writings</w:t>
      </w:r>
      <w:r>
        <w:t>.  Oxford: Oxford University Press, 2015.</w:t>
      </w:r>
    </w:p>
    <w:p w14:paraId="65D90A94" w14:textId="4E407012" w:rsidR="000147A5" w:rsidRDefault="000147A5" w:rsidP="00295209">
      <w:pPr>
        <w:ind w:left="720" w:hanging="720"/>
      </w:pPr>
      <w:r>
        <w:t>Ernst, Carl and Richard Martin, editors. “Introduction: Toward a Post-Orientalist Approach to Islamic Religious Studies.” Pages 1–19</w:t>
      </w:r>
      <w:r w:rsidR="00F777BD">
        <w:t xml:space="preserve"> in</w:t>
      </w:r>
      <w:r>
        <w:t xml:space="preserve"> </w:t>
      </w:r>
      <w:r>
        <w:rPr>
          <w:i/>
          <w:iCs/>
        </w:rPr>
        <w:t>Rethinking Islamic Studies: From Orientalism to Cosmopolitanism</w:t>
      </w:r>
      <w:r>
        <w:t>.</w:t>
      </w:r>
      <w:r>
        <w:rPr>
          <w:i/>
          <w:iCs/>
        </w:rPr>
        <w:t xml:space="preserve"> </w:t>
      </w:r>
      <w:r>
        <w:t>Columbia, S. C.: University of South Carolina Press, 2010.</w:t>
      </w:r>
    </w:p>
    <w:p w14:paraId="5277ACAD" w14:textId="77777777" w:rsidR="00FE320C" w:rsidRDefault="00FE320C" w:rsidP="00DB65C0">
      <w:pPr>
        <w:ind w:left="720" w:hanging="720"/>
      </w:pPr>
      <w:r>
        <w:t xml:space="preserve">Esposito, John L. </w:t>
      </w:r>
      <w:r>
        <w:rPr>
          <w:i/>
          <w:iCs/>
        </w:rPr>
        <w:t>Islam: The Straight Path</w:t>
      </w:r>
      <w:r>
        <w:t>. 3d ed.; Oxford: Oxford University Press, 2005.</w:t>
      </w:r>
    </w:p>
    <w:p w14:paraId="54284BAD" w14:textId="77777777" w:rsidR="00FE320C" w:rsidRPr="003252DD" w:rsidRDefault="00FE320C" w:rsidP="000C49DC">
      <w:r>
        <w:rPr>
          <w:rStyle w:val="mdash"/>
        </w:rPr>
        <w:lastRenderedPageBreak/>
        <w:t>———</w:t>
      </w:r>
      <w:r>
        <w:t xml:space="preserve">. </w:t>
      </w:r>
      <w:r w:rsidRPr="00FE320C">
        <w:rPr>
          <w:i/>
          <w:iCs/>
        </w:rPr>
        <w:t>Great World Religions: Islam</w:t>
      </w:r>
      <w:r>
        <w:t>.</w:t>
      </w:r>
      <w:r>
        <w:rPr>
          <w:i/>
          <w:iCs/>
        </w:rPr>
        <w:t xml:space="preserve"> </w:t>
      </w:r>
      <w:r w:rsidRPr="00FE320C">
        <w:t>The Great Courses</w:t>
      </w:r>
      <w:r>
        <w:t xml:space="preserve"> Series</w:t>
      </w:r>
      <w:r w:rsidR="000C49DC">
        <w:t xml:space="preserve"> on</w:t>
      </w:r>
      <w:r>
        <w:t xml:space="preserve"> DVD. Chantilly, Va.: The Teaching Company, 2003.</w:t>
      </w:r>
    </w:p>
    <w:p w14:paraId="28EC1C18" w14:textId="77777777" w:rsidR="00834E0E" w:rsidRPr="00D02CC7" w:rsidRDefault="00834E0E" w:rsidP="00295209">
      <w:pPr>
        <w:pStyle w:val="FootnoteText"/>
        <w:ind w:left="720" w:hanging="720"/>
        <w:jc w:val="both"/>
        <w:rPr>
          <w:sz w:val="24"/>
          <w:szCs w:val="24"/>
          <w:lang w:val="de-DE"/>
        </w:rPr>
      </w:pPr>
      <w:r>
        <w:rPr>
          <w:sz w:val="24"/>
          <w:szCs w:val="24"/>
        </w:rPr>
        <w:t xml:space="preserve">Gager, John. “Did Jewish Christians See the Rise of Islam?” Pages 361–72 in </w:t>
      </w:r>
      <w:r>
        <w:rPr>
          <w:i/>
          <w:iCs/>
          <w:sz w:val="24"/>
          <w:szCs w:val="24"/>
        </w:rPr>
        <w:t xml:space="preserve">The Ways That Never Parted: Jewish and Christians in Late Antiquity and the Early Middle Ages. </w:t>
      </w:r>
      <w:r>
        <w:rPr>
          <w:sz w:val="24"/>
          <w:szCs w:val="24"/>
        </w:rPr>
        <w:t xml:space="preserve">Edited by Adam H. Becker and Annette Yoshiko Reed. Reprint. </w:t>
      </w:r>
      <w:r w:rsidRPr="00C95FBF">
        <w:rPr>
          <w:sz w:val="24"/>
          <w:szCs w:val="24"/>
          <w:lang w:val="de-DE"/>
        </w:rPr>
        <w:t xml:space="preserve">Minneapolis: Fortress, 2007. </w:t>
      </w:r>
      <w:r w:rsidRPr="00D02CC7">
        <w:rPr>
          <w:sz w:val="24"/>
          <w:szCs w:val="24"/>
          <w:lang w:val="de-DE"/>
        </w:rPr>
        <w:t xml:space="preserve">Repr. </w:t>
      </w:r>
      <w:r w:rsidR="00781DA3" w:rsidRPr="00D02CC7">
        <w:rPr>
          <w:sz w:val="24"/>
          <w:szCs w:val="24"/>
          <w:lang w:val="de-DE"/>
        </w:rPr>
        <w:t>Tübingen: Mohr Siebeck, 2003.</w:t>
      </w:r>
    </w:p>
    <w:p w14:paraId="04FE7BF2" w14:textId="77777777" w:rsidR="00834E0E" w:rsidRPr="00D02CC7" w:rsidRDefault="00834E0E" w:rsidP="00295209">
      <w:pPr>
        <w:pStyle w:val="FootnoteText"/>
        <w:ind w:left="720" w:hanging="720"/>
        <w:jc w:val="both"/>
        <w:rPr>
          <w:sz w:val="24"/>
          <w:szCs w:val="24"/>
          <w:lang w:val="de-DE"/>
        </w:rPr>
      </w:pPr>
    </w:p>
    <w:p w14:paraId="31E5A15F" w14:textId="77777777" w:rsidR="00D02CC7" w:rsidRPr="00C95FBF" w:rsidRDefault="00D02CC7" w:rsidP="00D02CC7">
      <w:pPr>
        <w:pStyle w:val="FootnoteText"/>
        <w:jc w:val="both"/>
        <w:rPr>
          <w:sz w:val="24"/>
          <w:szCs w:val="24"/>
        </w:rPr>
      </w:pPr>
      <w:r w:rsidRPr="00D02CC7">
        <w:rPr>
          <w:sz w:val="24"/>
          <w:szCs w:val="24"/>
          <w:lang w:val="de-DE"/>
        </w:rPr>
        <w:t>Geiger, Abraham. “Was hat Mohammed aus dem Judentum aufgenommen?”</w:t>
      </w:r>
      <w:r w:rsidRPr="00D02CC7">
        <w:rPr>
          <w:i/>
          <w:iCs/>
          <w:sz w:val="24"/>
          <w:szCs w:val="24"/>
          <w:lang w:val="de-DE"/>
        </w:rPr>
        <w:t xml:space="preserve"> </w:t>
      </w:r>
      <w:r w:rsidRPr="00C95FBF">
        <w:rPr>
          <w:sz w:val="24"/>
          <w:szCs w:val="24"/>
        </w:rPr>
        <w:t xml:space="preserve">Diss., Bonn. 1833. </w:t>
      </w:r>
    </w:p>
    <w:p w14:paraId="516C84AA" w14:textId="77777777" w:rsidR="00D02CC7" w:rsidRPr="00C95FBF" w:rsidRDefault="00D02CC7" w:rsidP="00F90D8C">
      <w:pPr>
        <w:pStyle w:val="FootnoteText"/>
        <w:jc w:val="both"/>
        <w:rPr>
          <w:sz w:val="24"/>
          <w:szCs w:val="24"/>
        </w:rPr>
      </w:pPr>
    </w:p>
    <w:p w14:paraId="4B2A4EB7" w14:textId="77777777" w:rsidR="00F90D8C" w:rsidRPr="00F90D8C" w:rsidRDefault="00F90D8C" w:rsidP="00295209">
      <w:pPr>
        <w:pStyle w:val="FootnoteText"/>
        <w:ind w:left="720" w:hanging="720"/>
        <w:jc w:val="both"/>
        <w:rPr>
          <w:sz w:val="24"/>
          <w:szCs w:val="24"/>
        </w:rPr>
      </w:pPr>
      <w:r w:rsidRPr="00C95FBF">
        <w:rPr>
          <w:sz w:val="24"/>
          <w:szCs w:val="24"/>
        </w:rPr>
        <w:t xml:space="preserve">Heschel, Susannah. </w:t>
      </w:r>
      <w:r w:rsidRPr="00F90D8C">
        <w:rPr>
          <w:i/>
          <w:iCs/>
          <w:sz w:val="24"/>
          <w:szCs w:val="24"/>
        </w:rPr>
        <w:t>The Aryan Jesus: Christian Theologians and the Bible in Nazi Germany</w:t>
      </w:r>
      <w:r>
        <w:rPr>
          <w:sz w:val="24"/>
          <w:szCs w:val="24"/>
        </w:rPr>
        <w:t xml:space="preserve">. Princeton: </w:t>
      </w:r>
      <w:r w:rsidRPr="00F90D8C">
        <w:rPr>
          <w:sz w:val="24"/>
          <w:szCs w:val="24"/>
        </w:rPr>
        <w:t>Princeton University Press</w:t>
      </w:r>
      <w:r>
        <w:rPr>
          <w:sz w:val="24"/>
          <w:szCs w:val="24"/>
        </w:rPr>
        <w:t>, 2008.</w:t>
      </w:r>
    </w:p>
    <w:p w14:paraId="311A9DF8" w14:textId="77777777" w:rsidR="00F90D8C" w:rsidRPr="00F90D8C" w:rsidRDefault="00F90D8C" w:rsidP="00295209">
      <w:pPr>
        <w:pStyle w:val="FootnoteText"/>
        <w:ind w:left="720" w:hanging="720"/>
        <w:jc w:val="both"/>
        <w:rPr>
          <w:sz w:val="24"/>
          <w:szCs w:val="24"/>
        </w:rPr>
      </w:pPr>
    </w:p>
    <w:p w14:paraId="652B049D" w14:textId="77777777" w:rsidR="00C02296" w:rsidRDefault="00C02296" w:rsidP="00295209">
      <w:pPr>
        <w:pStyle w:val="FootnoteText"/>
        <w:ind w:left="720" w:hanging="720"/>
        <w:jc w:val="both"/>
        <w:rPr>
          <w:sz w:val="24"/>
          <w:szCs w:val="24"/>
        </w:rPr>
      </w:pPr>
      <w:proofErr w:type="spellStart"/>
      <w:r>
        <w:rPr>
          <w:sz w:val="24"/>
          <w:szCs w:val="24"/>
        </w:rPr>
        <w:t>Hidayatullah</w:t>
      </w:r>
      <w:proofErr w:type="spellEnd"/>
      <w:r>
        <w:rPr>
          <w:sz w:val="24"/>
          <w:szCs w:val="24"/>
        </w:rPr>
        <w:t xml:space="preserve">, </w:t>
      </w:r>
      <w:proofErr w:type="spellStart"/>
      <w:r>
        <w:rPr>
          <w:sz w:val="24"/>
          <w:szCs w:val="24"/>
        </w:rPr>
        <w:t>Aysha</w:t>
      </w:r>
      <w:proofErr w:type="spellEnd"/>
      <w:r>
        <w:rPr>
          <w:sz w:val="24"/>
          <w:szCs w:val="24"/>
        </w:rPr>
        <w:t xml:space="preserve"> A. </w:t>
      </w:r>
      <w:r>
        <w:rPr>
          <w:i/>
          <w:iCs/>
          <w:sz w:val="24"/>
          <w:szCs w:val="24"/>
        </w:rPr>
        <w:t xml:space="preserve">Feminist Edges of the Qur’an. </w:t>
      </w:r>
      <w:r>
        <w:rPr>
          <w:sz w:val="24"/>
          <w:szCs w:val="24"/>
        </w:rPr>
        <w:t>Oxford: Oxford University Press, 2014.</w:t>
      </w:r>
    </w:p>
    <w:p w14:paraId="3E5CECDA" w14:textId="77777777" w:rsidR="00C02296" w:rsidRPr="00C02296" w:rsidRDefault="00C02296" w:rsidP="00295209">
      <w:pPr>
        <w:pStyle w:val="FootnoteText"/>
        <w:ind w:left="720" w:hanging="720"/>
        <w:jc w:val="both"/>
        <w:rPr>
          <w:sz w:val="24"/>
          <w:szCs w:val="24"/>
        </w:rPr>
      </w:pPr>
    </w:p>
    <w:p w14:paraId="0DF73DAA" w14:textId="77777777" w:rsidR="00204286" w:rsidRPr="00204286" w:rsidRDefault="00BF53DB" w:rsidP="00295209">
      <w:pPr>
        <w:pStyle w:val="FootnoteText"/>
        <w:ind w:left="720" w:hanging="720"/>
        <w:jc w:val="both"/>
        <w:rPr>
          <w:sz w:val="24"/>
          <w:szCs w:val="24"/>
        </w:rPr>
      </w:pPr>
      <w:r w:rsidRPr="00BF53DB">
        <w:rPr>
          <w:sz w:val="24"/>
          <w:szCs w:val="24"/>
        </w:rPr>
        <w:t xml:space="preserve">Hughes, Aaron W. </w:t>
      </w:r>
      <w:r w:rsidR="00204286" w:rsidRPr="00204286">
        <w:rPr>
          <w:i/>
          <w:iCs/>
          <w:sz w:val="24"/>
          <w:szCs w:val="24"/>
        </w:rPr>
        <w:t>Muslim Identities: An Introduction to Islam</w:t>
      </w:r>
      <w:r w:rsidR="00204286" w:rsidRPr="00204286">
        <w:rPr>
          <w:sz w:val="24"/>
          <w:szCs w:val="24"/>
        </w:rPr>
        <w:t>.</w:t>
      </w:r>
      <w:r w:rsidR="00204286" w:rsidRPr="00204286">
        <w:rPr>
          <w:i/>
          <w:iCs/>
          <w:sz w:val="24"/>
          <w:szCs w:val="24"/>
        </w:rPr>
        <w:t xml:space="preserve"> </w:t>
      </w:r>
      <w:r w:rsidR="00204286" w:rsidRPr="00204286">
        <w:rPr>
          <w:sz w:val="24"/>
          <w:szCs w:val="24"/>
        </w:rPr>
        <w:t>New York: Columbia University Press, 2013.</w:t>
      </w:r>
    </w:p>
    <w:p w14:paraId="61056DC2" w14:textId="77777777" w:rsidR="00204286" w:rsidRDefault="00204286" w:rsidP="00295209">
      <w:pPr>
        <w:pStyle w:val="FootnoteText"/>
        <w:ind w:left="720" w:hanging="720"/>
        <w:jc w:val="both"/>
        <w:rPr>
          <w:sz w:val="24"/>
          <w:szCs w:val="24"/>
        </w:rPr>
      </w:pPr>
    </w:p>
    <w:p w14:paraId="2850A4DD" w14:textId="77777777" w:rsidR="00BF53DB" w:rsidRDefault="00204286" w:rsidP="00295209">
      <w:pPr>
        <w:pStyle w:val="FootnoteText"/>
        <w:ind w:left="720" w:hanging="720"/>
        <w:jc w:val="both"/>
        <w:rPr>
          <w:sz w:val="24"/>
          <w:szCs w:val="24"/>
        </w:rPr>
      </w:pPr>
      <w:r>
        <w:rPr>
          <w:rStyle w:val="mdash"/>
        </w:rPr>
        <w:t>———</w:t>
      </w:r>
      <w:r>
        <w:t xml:space="preserve">. </w:t>
      </w:r>
      <w:r w:rsidR="00BF53DB" w:rsidRPr="00BF53DB">
        <w:rPr>
          <w:i/>
          <w:iCs/>
          <w:sz w:val="24"/>
          <w:szCs w:val="24"/>
        </w:rPr>
        <w:t>Abrahamic Religions</w:t>
      </w:r>
      <w:r w:rsidR="00BF53DB">
        <w:rPr>
          <w:i/>
          <w:iCs/>
          <w:sz w:val="24"/>
          <w:szCs w:val="24"/>
        </w:rPr>
        <w:t>: On the Uses and Abuses of History</w:t>
      </w:r>
      <w:r w:rsidR="00BF53DB" w:rsidRPr="00BF53DB">
        <w:rPr>
          <w:i/>
          <w:iCs/>
          <w:sz w:val="24"/>
          <w:szCs w:val="24"/>
        </w:rPr>
        <w:t xml:space="preserve">. </w:t>
      </w:r>
      <w:r w:rsidR="00BF53DB" w:rsidRPr="00BF53DB">
        <w:rPr>
          <w:sz w:val="24"/>
          <w:szCs w:val="24"/>
        </w:rPr>
        <w:t xml:space="preserve">Oxford: Oxford University Press, 2012. </w:t>
      </w:r>
    </w:p>
    <w:p w14:paraId="38D16FA7" w14:textId="77777777" w:rsidR="00204286" w:rsidRDefault="00204286" w:rsidP="00295209">
      <w:pPr>
        <w:pStyle w:val="FootnoteText"/>
        <w:ind w:left="720" w:hanging="720"/>
        <w:jc w:val="both"/>
        <w:rPr>
          <w:sz w:val="24"/>
          <w:szCs w:val="24"/>
        </w:rPr>
      </w:pPr>
    </w:p>
    <w:p w14:paraId="55B52A71" w14:textId="77777777" w:rsidR="004102E9" w:rsidRDefault="004102E9" w:rsidP="00295209">
      <w:pPr>
        <w:pStyle w:val="FootnoteText"/>
        <w:ind w:left="720" w:hanging="720"/>
        <w:jc w:val="both"/>
        <w:rPr>
          <w:sz w:val="24"/>
          <w:szCs w:val="24"/>
        </w:rPr>
      </w:pPr>
      <w:r w:rsidRPr="004102E9">
        <w:rPr>
          <w:sz w:val="24"/>
          <w:szCs w:val="24"/>
        </w:rPr>
        <w:t>Jastrow, Marcus</w:t>
      </w:r>
      <w:r>
        <w:rPr>
          <w:sz w:val="24"/>
          <w:szCs w:val="24"/>
        </w:rPr>
        <w:t>.</w:t>
      </w:r>
      <w:r w:rsidRPr="004102E9">
        <w:rPr>
          <w:sz w:val="24"/>
          <w:szCs w:val="24"/>
        </w:rPr>
        <w:t xml:space="preserve"> </w:t>
      </w:r>
      <w:r w:rsidRPr="004102E9">
        <w:rPr>
          <w:i/>
          <w:iCs/>
          <w:sz w:val="24"/>
          <w:szCs w:val="24"/>
        </w:rPr>
        <w:t>Dictionary of the Targumim, the Talmud Babli and Yerushalmi, and the Midrashic Literature</w:t>
      </w:r>
      <w:r>
        <w:rPr>
          <w:sz w:val="24"/>
          <w:szCs w:val="24"/>
        </w:rPr>
        <w:t>.</w:t>
      </w:r>
      <w:r w:rsidRPr="004102E9">
        <w:rPr>
          <w:i/>
          <w:iCs/>
          <w:sz w:val="24"/>
          <w:szCs w:val="24"/>
        </w:rPr>
        <w:t xml:space="preserve"> </w:t>
      </w:r>
      <w:r w:rsidRPr="004102E9">
        <w:rPr>
          <w:sz w:val="24"/>
          <w:szCs w:val="24"/>
        </w:rPr>
        <w:t>Peabody, Mass.: Hendrickson, 2005.</w:t>
      </w:r>
    </w:p>
    <w:p w14:paraId="222A038D" w14:textId="77777777" w:rsidR="004102E9" w:rsidRPr="004102E9" w:rsidRDefault="004102E9" w:rsidP="00295209">
      <w:pPr>
        <w:pStyle w:val="FootnoteText"/>
        <w:ind w:left="720" w:hanging="720"/>
        <w:jc w:val="both"/>
        <w:rPr>
          <w:sz w:val="24"/>
          <w:szCs w:val="24"/>
        </w:rPr>
      </w:pPr>
    </w:p>
    <w:p w14:paraId="40D6EB2D" w14:textId="77777777" w:rsidR="006932A6" w:rsidRPr="006932A6" w:rsidRDefault="006932A6" w:rsidP="00295209">
      <w:pPr>
        <w:ind w:left="720" w:hanging="720"/>
      </w:pPr>
      <w:r w:rsidRPr="00B56595">
        <w:t xml:space="preserve">Khan, Muhammad Muhsin, and Muhammad </w:t>
      </w:r>
      <w:proofErr w:type="spellStart"/>
      <w:r w:rsidRPr="00B56595">
        <w:t>Taqi</w:t>
      </w:r>
      <w:proofErr w:type="spellEnd"/>
      <w:r w:rsidRPr="00B56595">
        <w:t>-</w:t>
      </w:r>
      <w:proofErr w:type="spellStart"/>
      <w:r w:rsidRPr="00B56595">
        <w:t>ud</w:t>
      </w:r>
      <w:proofErr w:type="spellEnd"/>
      <w:r w:rsidRPr="00B56595">
        <w:t>-Din Al-</w:t>
      </w:r>
      <w:proofErr w:type="spellStart"/>
      <w:r w:rsidRPr="00B56595">
        <w:t>Hilali</w:t>
      </w:r>
      <w:proofErr w:type="spellEnd"/>
      <w:r w:rsidRPr="00B56595">
        <w:t xml:space="preserve">, </w:t>
      </w:r>
      <w:r w:rsidRPr="00B56595">
        <w:rPr>
          <w:i/>
          <w:iCs/>
        </w:rPr>
        <w:t>The Noble Quran</w:t>
      </w:r>
      <w:r w:rsidRPr="00B56595">
        <w:t>.</w:t>
      </w:r>
      <w:r w:rsidR="00B56595">
        <w:t xml:space="preserve"> Riyadh: Darussalam, 2007.</w:t>
      </w:r>
    </w:p>
    <w:p w14:paraId="1008E49C" w14:textId="77777777" w:rsidR="00BD71DC" w:rsidRDefault="00BD71DC" w:rsidP="00295209">
      <w:pPr>
        <w:ind w:left="720" w:hanging="720"/>
      </w:pPr>
      <w:r>
        <w:t xml:space="preserve">Klinghardt, Matthias. “The Marcionite Gospel and the Synoptic Problem: A New Suggestion.” </w:t>
      </w:r>
      <w:r w:rsidRPr="006D3461">
        <w:rPr>
          <w:i/>
          <w:iCs/>
        </w:rPr>
        <w:t>Nov</w:t>
      </w:r>
      <w:r>
        <w:rPr>
          <w:i/>
          <w:iCs/>
        </w:rPr>
        <w:t xml:space="preserve">um </w:t>
      </w:r>
      <w:r w:rsidRPr="006D3461">
        <w:rPr>
          <w:i/>
          <w:iCs/>
        </w:rPr>
        <w:t>T</w:t>
      </w:r>
      <w:r>
        <w:rPr>
          <w:i/>
          <w:iCs/>
        </w:rPr>
        <w:t xml:space="preserve">estamentum </w:t>
      </w:r>
      <w:r>
        <w:t>50 (2008): 1–27.</w:t>
      </w:r>
    </w:p>
    <w:p w14:paraId="4036DE2F" w14:textId="77777777" w:rsidR="00643C60" w:rsidRDefault="00643C60" w:rsidP="00295209">
      <w:pPr>
        <w:ind w:left="720" w:hanging="720"/>
      </w:pPr>
      <w:r w:rsidRPr="00295209">
        <w:t xml:space="preserve">Koehler, Ludwig, and Walter Baumgartner. </w:t>
      </w:r>
      <w:r w:rsidRPr="00643C60">
        <w:rPr>
          <w:i/>
          <w:iCs/>
        </w:rPr>
        <w:t>The Hebrew and Aramaic Lexicon of the Old Testament</w:t>
      </w:r>
      <w:r w:rsidRPr="00643C60">
        <w:t>.</w:t>
      </w:r>
      <w:r>
        <w:t xml:space="preserve"> 2 vols. Leiden: Brill, 2006. </w:t>
      </w:r>
    </w:p>
    <w:p w14:paraId="13F67CAE" w14:textId="77777777" w:rsidR="00AB5EB6" w:rsidRDefault="00AB5EB6" w:rsidP="00295209">
      <w:pPr>
        <w:ind w:left="720" w:hanging="720"/>
      </w:pPr>
      <w:r>
        <w:t xml:space="preserve">Muhammad, Khaleel. “Assessing English Translations of the Qur’an.” </w:t>
      </w:r>
      <w:r>
        <w:rPr>
          <w:i/>
          <w:iCs/>
        </w:rPr>
        <w:t xml:space="preserve">The Middle East Quarterly </w:t>
      </w:r>
      <w:r>
        <w:t>12 (2005): 58–71.</w:t>
      </w:r>
    </w:p>
    <w:p w14:paraId="7219DD40" w14:textId="77777777" w:rsidR="00BD71DC" w:rsidRDefault="00BD71DC" w:rsidP="00295209">
      <w:pPr>
        <w:ind w:left="720" w:hanging="720"/>
      </w:pPr>
      <w:r>
        <w:t>M</w:t>
      </w:r>
      <w:r w:rsidRPr="00324304">
        <w:t>üller</w:t>
      </w:r>
      <w:r>
        <w:t xml:space="preserve">, Mogens. “Luke–the Fourth Gospel?” Pages 231–42 in </w:t>
      </w:r>
      <w:proofErr w:type="spellStart"/>
      <w:r>
        <w:rPr>
          <w:i/>
          <w:iCs/>
        </w:rPr>
        <w:t>Voces</w:t>
      </w:r>
      <w:proofErr w:type="spellEnd"/>
      <w:r>
        <w:rPr>
          <w:i/>
          <w:iCs/>
        </w:rPr>
        <w:t xml:space="preserve"> </w:t>
      </w:r>
      <w:proofErr w:type="spellStart"/>
      <w:r>
        <w:rPr>
          <w:i/>
          <w:iCs/>
        </w:rPr>
        <w:t>Clamantium</w:t>
      </w:r>
      <w:proofErr w:type="spellEnd"/>
      <w:r>
        <w:rPr>
          <w:i/>
          <w:iCs/>
        </w:rPr>
        <w:t xml:space="preserve"> in </w:t>
      </w:r>
      <w:proofErr w:type="spellStart"/>
      <w:r>
        <w:rPr>
          <w:i/>
          <w:iCs/>
        </w:rPr>
        <w:t>Deserto</w:t>
      </w:r>
      <w:proofErr w:type="spellEnd"/>
      <w:r>
        <w:rPr>
          <w:i/>
          <w:iCs/>
        </w:rPr>
        <w:t xml:space="preserve">: Essays in Honor of Kari </w:t>
      </w:r>
      <w:proofErr w:type="spellStart"/>
      <w:r>
        <w:rPr>
          <w:i/>
          <w:iCs/>
        </w:rPr>
        <w:t>Syreeni</w:t>
      </w:r>
      <w:proofErr w:type="spellEnd"/>
      <w:r>
        <w:t>.</w:t>
      </w:r>
      <w:r>
        <w:rPr>
          <w:i/>
          <w:iCs/>
        </w:rPr>
        <w:t xml:space="preserve"> </w:t>
      </w:r>
      <w:r>
        <w:t xml:space="preserve">Edited by Sven-Olav Back and Matti </w:t>
      </w:r>
      <w:proofErr w:type="spellStart"/>
      <w:r>
        <w:t>Kankaanniemi</w:t>
      </w:r>
      <w:proofErr w:type="spellEnd"/>
      <w:r>
        <w:t xml:space="preserve">. Studier </w:t>
      </w:r>
      <w:proofErr w:type="spellStart"/>
      <w:r>
        <w:t>exegetik</w:t>
      </w:r>
      <w:proofErr w:type="spellEnd"/>
      <w:r>
        <w:t xml:space="preserve"> </w:t>
      </w:r>
      <w:proofErr w:type="spellStart"/>
      <w:r>
        <w:t>och</w:t>
      </w:r>
      <w:proofErr w:type="spellEnd"/>
      <w:r>
        <w:t xml:space="preserve"> </w:t>
      </w:r>
      <w:proofErr w:type="spellStart"/>
      <w:r>
        <w:t>judaistik</w:t>
      </w:r>
      <w:proofErr w:type="spellEnd"/>
      <w:r>
        <w:t xml:space="preserve"> </w:t>
      </w:r>
      <w:proofErr w:type="spellStart"/>
      <w:r>
        <w:t>utgivna</w:t>
      </w:r>
      <w:proofErr w:type="spellEnd"/>
      <w:r>
        <w:t xml:space="preserve"> av </w:t>
      </w:r>
      <w:proofErr w:type="spellStart"/>
      <w:r>
        <w:t>Teologiska</w:t>
      </w:r>
      <w:proofErr w:type="spellEnd"/>
      <w:r>
        <w:t xml:space="preserve"> </w:t>
      </w:r>
      <w:proofErr w:type="spellStart"/>
      <w:r>
        <w:t>fakulteten</w:t>
      </w:r>
      <w:proofErr w:type="spellEnd"/>
      <w:r>
        <w:t xml:space="preserve"> vid </w:t>
      </w:r>
      <w:proofErr w:type="spellStart"/>
      <w:r>
        <w:t>Åbo</w:t>
      </w:r>
      <w:proofErr w:type="spellEnd"/>
      <w:r>
        <w:t xml:space="preserve"> </w:t>
      </w:r>
      <w:proofErr w:type="spellStart"/>
      <w:r>
        <w:t>Akademi</w:t>
      </w:r>
      <w:proofErr w:type="spellEnd"/>
      <w:r>
        <w:t xml:space="preserve"> 11. </w:t>
      </w:r>
      <w:proofErr w:type="spellStart"/>
      <w:r>
        <w:t>Åbo</w:t>
      </w:r>
      <w:proofErr w:type="spellEnd"/>
      <w:r>
        <w:t xml:space="preserve">: </w:t>
      </w:r>
      <w:proofErr w:type="spellStart"/>
      <w:r>
        <w:t>Teologiska</w:t>
      </w:r>
      <w:proofErr w:type="spellEnd"/>
      <w:r>
        <w:t xml:space="preserve"> </w:t>
      </w:r>
      <w:proofErr w:type="spellStart"/>
      <w:r>
        <w:t>fakulteten</w:t>
      </w:r>
      <w:proofErr w:type="spellEnd"/>
      <w:r>
        <w:t xml:space="preserve"> vid </w:t>
      </w:r>
      <w:proofErr w:type="spellStart"/>
      <w:r>
        <w:t>Åbo</w:t>
      </w:r>
      <w:proofErr w:type="spellEnd"/>
      <w:r>
        <w:t xml:space="preserve"> </w:t>
      </w:r>
      <w:proofErr w:type="spellStart"/>
      <w:r>
        <w:t>Akademi</w:t>
      </w:r>
      <w:proofErr w:type="spellEnd"/>
      <w:r>
        <w:t>, 2012.</w:t>
      </w:r>
    </w:p>
    <w:p w14:paraId="6549C95F" w14:textId="77777777" w:rsidR="00897D6B" w:rsidRDefault="00897D6B" w:rsidP="00295209">
      <w:pPr>
        <w:ind w:left="720" w:hanging="720"/>
      </w:pPr>
      <w:r w:rsidRPr="00C02296">
        <w:t xml:space="preserve">Orlov, Andrei, and Gabriele Boccaccini, editors. </w:t>
      </w:r>
      <w:r>
        <w:rPr>
          <w:i/>
          <w:iCs/>
        </w:rPr>
        <w:t>New Perspectives on 2 Enoch: No Longer Slavonic Only</w:t>
      </w:r>
      <w:r>
        <w:t>.</w:t>
      </w:r>
      <w:r>
        <w:rPr>
          <w:i/>
          <w:iCs/>
        </w:rPr>
        <w:t xml:space="preserve"> </w:t>
      </w:r>
      <w:r>
        <w:t>Studia Judaeoslavic</w:t>
      </w:r>
      <w:r w:rsidR="003441E8">
        <w:t>a</w:t>
      </w:r>
      <w:r>
        <w:t xml:space="preserve"> 4; Brill: Leiden, 2012.</w:t>
      </w:r>
    </w:p>
    <w:p w14:paraId="5ABF3BB8" w14:textId="77777777" w:rsidR="00544C6E" w:rsidRDefault="0047238E" w:rsidP="00295209">
      <w:pPr>
        <w:ind w:left="720" w:hanging="720"/>
      </w:pPr>
      <w:r>
        <w:t>Peters, F</w:t>
      </w:r>
      <w:r w:rsidR="00A7560F">
        <w:t>rancis</w:t>
      </w:r>
      <w:r>
        <w:t xml:space="preserve"> E.</w:t>
      </w:r>
      <w:r w:rsidR="00544C6E">
        <w:t xml:space="preserve">, </w:t>
      </w:r>
      <w:r w:rsidR="00544C6E">
        <w:rPr>
          <w:i/>
          <w:iCs/>
        </w:rPr>
        <w:t>The Children of Abraham: Judaism, Christianity, and Islam</w:t>
      </w:r>
      <w:r w:rsidR="00544C6E">
        <w:t>.</w:t>
      </w:r>
      <w:r w:rsidR="00544C6E">
        <w:rPr>
          <w:i/>
          <w:iCs/>
        </w:rPr>
        <w:t xml:space="preserve"> </w:t>
      </w:r>
      <w:r w:rsidR="00544C6E">
        <w:t>Princeton, N. J.: Princeton University Press, 2004.</w:t>
      </w:r>
    </w:p>
    <w:p w14:paraId="7562E57F" w14:textId="77777777" w:rsidR="0047238E" w:rsidRDefault="00BF53DB" w:rsidP="00295209">
      <w:pPr>
        <w:ind w:left="720" w:hanging="720"/>
      </w:pPr>
      <w:r>
        <w:rPr>
          <w:rStyle w:val="mdash"/>
        </w:rPr>
        <w:lastRenderedPageBreak/>
        <w:t>———</w:t>
      </w:r>
      <w:r>
        <w:t xml:space="preserve">. </w:t>
      </w:r>
      <w:r w:rsidR="0047238E">
        <w:rPr>
          <w:i/>
          <w:iCs/>
        </w:rPr>
        <w:t>Muhammad and the Origins of Islam</w:t>
      </w:r>
      <w:r w:rsidR="0047238E">
        <w:t>.</w:t>
      </w:r>
      <w:r w:rsidR="0047238E">
        <w:rPr>
          <w:i/>
          <w:iCs/>
        </w:rPr>
        <w:t xml:space="preserve"> </w:t>
      </w:r>
      <w:r w:rsidR="0047238E">
        <w:t>Albany: SUNY Press, 1994.</w:t>
      </w:r>
    </w:p>
    <w:p w14:paraId="6E0B294D" w14:textId="77777777" w:rsidR="00FA7559" w:rsidRPr="00FA7559" w:rsidRDefault="00FA7559" w:rsidP="00295209">
      <w:pPr>
        <w:ind w:left="720" w:hanging="720"/>
      </w:pPr>
      <w:r>
        <w:t xml:space="preserve">Reynolds, Gabriel Said. “Islamic Studies in the North America or Reflections on the Academic Study of the Qur’an.” </w:t>
      </w:r>
      <w:proofErr w:type="spellStart"/>
      <w:r>
        <w:rPr>
          <w:i/>
          <w:iCs/>
        </w:rPr>
        <w:t>Islamo</w:t>
      </w:r>
      <w:r w:rsidR="00DA5FAF">
        <w:rPr>
          <w:i/>
          <w:iCs/>
        </w:rPr>
        <w:t>c</w:t>
      </w:r>
      <w:r>
        <w:rPr>
          <w:i/>
          <w:iCs/>
        </w:rPr>
        <w:t>hristinana</w:t>
      </w:r>
      <w:proofErr w:type="spellEnd"/>
      <w:r>
        <w:t xml:space="preserve"> 40 (2014): 55–73. </w:t>
      </w:r>
    </w:p>
    <w:p w14:paraId="3D3C6C07" w14:textId="77777777" w:rsidR="00FA7559" w:rsidRDefault="00FA7559" w:rsidP="00295209">
      <w:pPr>
        <w:ind w:left="720" w:hanging="720"/>
      </w:pPr>
      <w:r>
        <w:rPr>
          <w:rStyle w:val="mdash"/>
        </w:rPr>
        <w:t>———</w:t>
      </w:r>
      <w:r>
        <w:t xml:space="preserve">. </w:t>
      </w:r>
      <w:r>
        <w:rPr>
          <w:i/>
          <w:iCs/>
        </w:rPr>
        <w:t xml:space="preserve">The Emergence of Islam: Classical Traditions in Contemporary Perspectives </w:t>
      </w:r>
      <w:r>
        <w:t>(Fortress, 2012).</w:t>
      </w:r>
    </w:p>
    <w:p w14:paraId="52092886" w14:textId="77777777" w:rsidR="00F90D8C" w:rsidRPr="00F90D8C" w:rsidRDefault="00F90D8C" w:rsidP="00295209">
      <w:pPr>
        <w:ind w:left="720" w:hanging="720"/>
      </w:pPr>
      <w:r>
        <w:t xml:space="preserve">Said, Edward W. </w:t>
      </w:r>
      <w:r>
        <w:rPr>
          <w:i/>
          <w:iCs/>
        </w:rPr>
        <w:t xml:space="preserve">Orientalism. </w:t>
      </w:r>
      <w:r>
        <w:t>New York: Vintage Books, 1978.</w:t>
      </w:r>
    </w:p>
    <w:p w14:paraId="446490AB" w14:textId="77777777" w:rsidR="00F90D8C" w:rsidRDefault="00F90D8C" w:rsidP="00295209">
      <w:pPr>
        <w:ind w:left="720" w:hanging="720"/>
      </w:pPr>
      <w:r>
        <w:t xml:space="preserve">Sanders, E. P. </w:t>
      </w:r>
      <w:r>
        <w:rPr>
          <w:i/>
          <w:iCs/>
        </w:rPr>
        <w:t>Paul and Palestinian Judaism: A Comparison of Patterns of Religion</w:t>
      </w:r>
      <w:r>
        <w:t>. Philadelphia: Fortress, 1977.</w:t>
      </w:r>
    </w:p>
    <w:p w14:paraId="610ED0DA" w14:textId="77777777" w:rsidR="00834E0E" w:rsidRPr="00834E0E" w:rsidRDefault="00834E0E" w:rsidP="00295209">
      <w:pPr>
        <w:ind w:left="720" w:hanging="720"/>
      </w:pPr>
      <w:proofErr w:type="spellStart"/>
      <w:r w:rsidRPr="00EC314E">
        <w:t>Schoeps</w:t>
      </w:r>
      <w:proofErr w:type="spellEnd"/>
      <w:r w:rsidRPr="00EC314E">
        <w:t>, H</w:t>
      </w:r>
      <w:r>
        <w:t>ans-</w:t>
      </w:r>
      <w:r w:rsidRPr="00EC314E">
        <w:t>J</w:t>
      </w:r>
      <w:r>
        <w:t>oachim</w:t>
      </w:r>
      <w:r w:rsidRPr="00EC314E">
        <w:t xml:space="preserve">. </w:t>
      </w:r>
      <w:r w:rsidRPr="00EC314E">
        <w:rPr>
          <w:i/>
          <w:iCs/>
        </w:rPr>
        <w:t xml:space="preserve">Jewish Christianity: Factional Disputes in the Early Church. </w:t>
      </w:r>
      <w:r w:rsidRPr="00834E0E">
        <w:t>Trans</w:t>
      </w:r>
      <w:r>
        <w:t xml:space="preserve">lated by </w:t>
      </w:r>
      <w:r w:rsidRPr="00834E0E">
        <w:t>Douglas R. A. Hare. Philadelphia: Fortress Press, 1969.</w:t>
      </w:r>
    </w:p>
    <w:p w14:paraId="106F2825" w14:textId="77777777" w:rsidR="00AC7259" w:rsidRDefault="00AC7259" w:rsidP="00295209">
      <w:pPr>
        <w:ind w:left="720" w:hanging="720"/>
      </w:pPr>
      <w:r>
        <w:t xml:space="preserve">Schwartz, Seth. “Historiography of the ‘Talmudic Period.’” Pages 79–114 in </w:t>
      </w:r>
      <w:r>
        <w:rPr>
          <w:i/>
          <w:iCs/>
        </w:rPr>
        <w:t>The Oxford Handbook of Jewish Studies</w:t>
      </w:r>
      <w:r>
        <w:t>. Edited by Martin D. Goodman. Oxford: Oxford University Press.</w:t>
      </w:r>
    </w:p>
    <w:p w14:paraId="1363CAF7" w14:textId="77777777" w:rsidR="0047238E" w:rsidRDefault="0047238E" w:rsidP="00295209">
      <w:pPr>
        <w:ind w:left="720" w:hanging="720"/>
      </w:pPr>
      <w:r>
        <w:t xml:space="preserve">Sells, Michael. </w:t>
      </w:r>
      <w:r>
        <w:rPr>
          <w:i/>
          <w:iCs/>
        </w:rPr>
        <w:t>Approaching the Qur’an: The Early Revelations</w:t>
      </w:r>
      <w:r>
        <w:t>.</w:t>
      </w:r>
      <w:r>
        <w:rPr>
          <w:i/>
          <w:iCs/>
        </w:rPr>
        <w:t xml:space="preserve"> </w:t>
      </w:r>
      <w:r>
        <w:t xml:space="preserve">2d ed. Ashland, </w:t>
      </w:r>
      <w:proofErr w:type="spellStart"/>
      <w:r>
        <w:t>Oreg</w:t>
      </w:r>
      <w:proofErr w:type="spellEnd"/>
      <w:r>
        <w:t>.: White Cloud Press, 2007.</w:t>
      </w:r>
    </w:p>
    <w:p w14:paraId="766E300E" w14:textId="254F6DA3" w:rsidR="004102E9" w:rsidRDefault="004102E9" w:rsidP="00295209">
      <w:pPr>
        <w:ind w:left="720" w:hanging="720"/>
      </w:pPr>
      <w:r>
        <w:t xml:space="preserve">Smith, Payne. </w:t>
      </w:r>
      <w:r>
        <w:rPr>
          <w:i/>
          <w:iCs/>
        </w:rPr>
        <w:t>Compendious Syriac Dic</w:t>
      </w:r>
      <w:r w:rsidR="00295209">
        <w:rPr>
          <w:i/>
          <w:iCs/>
        </w:rPr>
        <w:t>t</w:t>
      </w:r>
      <w:r>
        <w:rPr>
          <w:i/>
          <w:iCs/>
        </w:rPr>
        <w:t>ionary</w:t>
      </w:r>
      <w:r>
        <w:t xml:space="preserve">. Eugene, </w:t>
      </w:r>
      <w:proofErr w:type="spellStart"/>
      <w:r>
        <w:t>Oreg</w:t>
      </w:r>
      <w:proofErr w:type="spellEnd"/>
      <w:r>
        <w:t>.: Wipf &amp; Stock, 1999.</w:t>
      </w:r>
    </w:p>
    <w:p w14:paraId="7C36907A" w14:textId="77777777" w:rsidR="00AB64DE" w:rsidRDefault="00AB64DE" w:rsidP="00295209">
      <w:pPr>
        <w:ind w:left="720" w:hanging="720"/>
      </w:pPr>
      <w:proofErr w:type="spellStart"/>
      <w:r>
        <w:t>Wansbrough</w:t>
      </w:r>
      <w:proofErr w:type="spellEnd"/>
      <w:r>
        <w:t xml:space="preserve">, John. </w:t>
      </w:r>
      <w:r>
        <w:rPr>
          <w:i/>
          <w:iCs/>
        </w:rPr>
        <w:t>Quranic Studies: Sources and Methods of Scriptural Interpretation</w:t>
      </w:r>
      <w:r>
        <w:t xml:space="preserve">. Expanded and edited by Andrew </w:t>
      </w:r>
      <w:proofErr w:type="spellStart"/>
      <w:r>
        <w:t>Rippin</w:t>
      </w:r>
      <w:proofErr w:type="spellEnd"/>
      <w:r>
        <w:t>. Amherst, N. Y.: Prometheus, 2004.</w:t>
      </w:r>
    </w:p>
    <w:p w14:paraId="5451A137" w14:textId="77777777" w:rsidR="00BD71DC" w:rsidRPr="00ED284C" w:rsidRDefault="00BD71DC" w:rsidP="00295209">
      <w:pPr>
        <w:ind w:left="720" w:hanging="720"/>
        <w:rPr>
          <w:lang w:val="de-DE"/>
        </w:rPr>
      </w:pPr>
      <w:r w:rsidRPr="00ED284C">
        <w:rPr>
          <w:lang w:val="de-DE"/>
        </w:rPr>
        <w:t xml:space="preserve">Wellhausen, Julius. </w:t>
      </w:r>
      <w:r w:rsidRPr="00ED284C">
        <w:rPr>
          <w:i/>
          <w:iCs/>
          <w:lang w:val="de-DE"/>
        </w:rPr>
        <w:t>Prolegomena zur Geschichte Israels</w:t>
      </w:r>
      <w:r w:rsidRPr="00ED284C">
        <w:rPr>
          <w:lang w:val="de-DE"/>
        </w:rPr>
        <w:t>.</w:t>
      </w:r>
      <w:r w:rsidRPr="00ED284C">
        <w:rPr>
          <w:i/>
          <w:iCs/>
          <w:lang w:val="de-DE"/>
        </w:rPr>
        <w:t xml:space="preserve"> </w:t>
      </w:r>
      <w:r w:rsidRPr="00ED284C">
        <w:rPr>
          <w:lang w:val="de-DE"/>
        </w:rPr>
        <w:t>Berlin: G. Reimer, 1878.</w:t>
      </w:r>
    </w:p>
    <w:p w14:paraId="5AA28F6C" w14:textId="77777777" w:rsidR="00DF1746" w:rsidRPr="00BD71DC" w:rsidRDefault="00DF1746" w:rsidP="00295209">
      <w:pPr>
        <w:ind w:left="720" w:hanging="720"/>
      </w:pPr>
      <w:r w:rsidRPr="00295209">
        <w:t xml:space="preserve">Yusuf Ali, Abdullah. </w:t>
      </w:r>
      <w:r>
        <w:rPr>
          <w:i/>
          <w:iCs/>
        </w:rPr>
        <w:t>The Qur’an: Text, Translation, and Commentary</w:t>
      </w:r>
      <w:r>
        <w:t xml:space="preserve">. New York: </w:t>
      </w:r>
      <w:proofErr w:type="spellStart"/>
      <w:r>
        <w:t>Tahrike</w:t>
      </w:r>
      <w:proofErr w:type="spellEnd"/>
      <w:r>
        <w:t xml:space="preserve"> </w:t>
      </w:r>
      <w:proofErr w:type="spellStart"/>
      <w:r>
        <w:t>Tarsile</w:t>
      </w:r>
      <w:proofErr w:type="spellEnd"/>
      <w:r>
        <w:t xml:space="preserve"> Quran, 2011.</w:t>
      </w:r>
    </w:p>
    <w:p w14:paraId="29651746" w14:textId="77777777" w:rsidR="00BD71DC" w:rsidRPr="003F2714" w:rsidRDefault="00BD71DC" w:rsidP="00295209">
      <w:pPr>
        <w:ind w:left="720" w:hanging="720"/>
      </w:pPr>
    </w:p>
    <w:p w14:paraId="263AA7A1" w14:textId="77777777" w:rsidR="00721630" w:rsidRPr="003F2714" w:rsidRDefault="00721630" w:rsidP="00295209">
      <w:pPr>
        <w:ind w:left="720" w:hanging="720"/>
        <w:jc w:val="both"/>
      </w:pPr>
    </w:p>
    <w:sectPr w:rsidR="00721630" w:rsidRPr="003F27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D76CE" w14:textId="77777777" w:rsidR="00D31533" w:rsidRDefault="00D31533" w:rsidP="00C21081">
      <w:pPr>
        <w:spacing w:after="0" w:line="240" w:lineRule="auto"/>
      </w:pPr>
      <w:r>
        <w:separator/>
      </w:r>
    </w:p>
  </w:endnote>
  <w:endnote w:type="continuationSeparator" w:id="0">
    <w:p w14:paraId="7F352B22" w14:textId="77777777" w:rsidR="00D31533" w:rsidRDefault="00D31533" w:rsidP="00C2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1E63E" w14:textId="77777777" w:rsidR="00D31533" w:rsidRDefault="00D31533" w:rsidP="00C21081">
      <w:pPr>
        <w:spacing w:after="0" w:line="240" w:lineRule="auto"/>
      </w:pPr>
      <w:r>
        <w:separator/>
      </w:r>
    </w:p>
  </w:footnote>
  <w:footnote w:type="continuationSeparator" w:id="0">
    <w:p w14:paraId="1AD143FA" w14:textId="77777777" w:rsidR="00D31533" w:rsidRDefault="00D31533" w:rsidP="00C21081">
      <w:pPr>
        <w:spacing w:after="0" w:line="240" w:lineRule="auto"/>
      </w:pPr>
      <w:r>
        <w:continuationSeparator/>
      </w:r>
    </w:p>
  </w:footnote>
  <w:footnote w:id="1">
    <w:p w14:paraId="636EEBCD" w14:textId="64B22C44" w:rsidR="003D36AF" w:rsidRDefault="003D36AF" w:rsidP="003D36AF">
      <w:pPr>
        <w:pStyle w:val="FootnoteText"/>
      </w:pPr>
      <w:r>
        <w:t>* A special thanks to Carlos A. Segovia and Robert B. Foster for looking at this piece and providing critical feedback and corrections.</w:t>
      </w:r>
    </w:p>
    <w:p w14:paraId="44DCF3DC" w14:textId="4F420E2C" w:rsidR="002D498A" w:rsidRPr="003D36AF" w:rsidRDefault="002D498A" w:rsidP="003D36AF">
      <w:pPr>
        <w:pStyle w:val="FootnoteText"/>
        <w:jc w:val="both"/>
        <w:rPr>
          <w:b/>
        </w:rPr>
      </w:pPr>
      <w:r>
        <w:rPr>
          <w:rStyle w:val="FootnoteReference"/>
        </w:rPr>
        <w:footnoteRef/>
      </w:r>
      <w:r>
        <w:t xml:space="preserve"> I am using the epithet “early” in an extremely flexible chronological way to include Judaism, Christianity, and Islam under some kind of common rubric. By “early Judaism” I mean both the Second Temple and Late Antique periods. “Early Christianity” encompasses here the first centuries of formative Christianity until the emergence of Islam (“Late Antiquity”). “Early Islam” refers roughly to its formative period, the time when the Qur’an was formed, when Muhammad lived, and the first traditional accounts related to these two emerge (</w:t>
      </w:r>
      <w:proofErr w:type="spellStart"/>
      <w:r>
        <w:t>siras</w:t>
      </w:r>
      <w:proofErr w:type="spellEnd"/>
      <w:r>
        <w:t xml:space="preserve">, hadiths, etc.). My overly inclusive usage of “early” is meant to connect the study of nascent Islam with the investigation of a diverse spectrum of Jewish and Christian sources spanning from the Hebrew Bible to the Talmud and patristic literature while avoiding cumbersome language (“Second Temple Judaism,” “Late Antique Judaism,” etc.) or canonical terminology (“New Testament period,” “Talmudic era,” etc.). </w:t>
      </w:r>
    </w:p>
  </w:footnote>
  <w:footnote w:id="2">
    <w:p w14:paraId="6B8429EB" w14:textId="77777777" w:rsidR="002D498A" w:rsidRDefault="002D498A" w:rsidP="003D36AF">
      <w:pPr>
        <w:pStyle w:val="FootnoteText"/>
        <w:jc w:val="both"/>
      </w:pPr>
      <w:r>
        <w:rPr>
          <w:rStyle w:val="FootnoteReference"/>
        </w:rPr>
        <w:footnoteRef/>
      </w:r>
      <w:r>
        <w:t xml:space="preserve"> Wellhausen, </w:t>
      </w:r>
      <w:r>
        <w:rPr>
          <w:i/>
          <w:iCs/>
        </w:rPr>
        <w:t>Prolegomena</w:t>
      </w:r>
      <w:r>
        <w:t xml:space="preserve">, posited four sources, dubbed “J,” “E,” “D,” and “P” for the Pentateuch that were written by different scribal schools. This hypothesis, as of late, has been challenged, though it does not detract from the fact that critical scholarship continues to view the Pentateuch as a composite work. See </w:t>
      </w:r>
      <w:proofErr w:type="spellStart"/>
      <w:r>
        <w:t>Dozeman</w:t>
      </w:r>
      <w:proofErr w:type="spellEnd"/>
      <w:r>
        <w:t xml:space="preserve">, Schmid, and Schwartz, eds., </w:t>
      </w:r>
      <w:r>
        <w:rPr>
          <w:i/>
          <w:iCs/>
        </w:rPr>
        <w:t>The Pentateuch</w:t>
      </w:r>
      <w:r>
        <w:t>. Concerning the synoptic gospels, the so-called Two-Source Hypothesis (Matthew and Luke relied on Mark and a hypothetical document dubbed “Q”) has prevailed for a long time. Many are increasingly contesting its validity. Working under the assumption that the synoptic gospels are multi-layered texts, some scholars are searching for alternative explanations that better account for their complex literary relationships. The bibliography is immense. See, among others, M</w:t>
      </w:r>
      <w:r w:rsidRPr="00324304">
        <w:t>üller</w:t>
      </w:r>
      <w:r>
        <w:t xml:space="preserve">, “Luke–the Fourth Gospel?”; Klinghardt, “The Marcionite Gospel and the Synoptic Problem.” </w:t>
      </w:r>
    </w:p>
  </w:footnote>
  <w:footnote w:id="3">
    <w:p w14:paraId="484904E5" w14:textId="77777777" w:rsidR="002D498A" w:rsidRPr="00124ACE" w:rsidRDefault="002D498A" w:rsidP="003D36AF">
      <w:pPr>
        <w:pStyle w:val="FootnoteText"/>
        <w:jc w:val="both"/>
      </w:pPr>
      <w:r>
        <w:rPr>
          <w:rStyle w:val="FootnoteReference"/>
        </w:rPr>
        <w:footnoteRef/>
      </w:r>
      <w:r>
        <w:t xml:space="preserve"> See Mishnah, </w:t>
      </w:r>
      <w:r>
        <w:rPr>
          <w:i/>
          <w:iCs/>
        </w:rPr>
        <w:t xml:space="preserve">Avot </w:t>
      </w:r>
      <w:r>
        <w:t xml:space="preserve">1:1. In the rabbinic understanding, “Torah” encompasses not only the Pentateuch but also the rabbinic teachings, “Oral Torah,” which is viewed as authoritative. </w:t>
      </w:r>
    </w:p>
  </w:footnote>
  <w:footnote w:id="4">
    <w:p w14:paraId="344DAE04" w14:textId="77777777" w:rsidR="002D498A" w:rsidRPr="00B668AA" w:rsidRDefault="002D498A" w:rsidP="003D36AF">
      <w:pPr>
        <w:pStyle w:val="FootnoteText"/>
        <w:jc w:val="both"/>
      </w:pPr>
      <w:r>
        <w:rPr>
          <w:rStyle w:val="FootnoteReference"/>
        </w:rPr>
        <w:footnoteRef/>
      </w:r>
      <w:r>
        <w:t xml:space="preserve"> Papias’ testimony is related by Eusebius, </w:t>
      </w:r>
      <w:r>
        <w:rPr>
          <w:i/>
          <w:iCs/>
        </w:rPr>
        <w:t xml:space="preserve">Historia </w:t>
      </w:r>
      <w:proofErr w:type="spellStart"/>
      <w:r>
        <w:rPr>
          <w:i/>
          <w:iCs/>
        </w:rPr>
        <w:t>ecclesiastica</w:t>
      </w:r>
      <w:proofErr w:type="spellEnd"/>
      <w:r>
        <w:rPr>
          <w:i/>
          <w:iCs/>
        </w:rPr>
        <w:t xml:space="preserve"> </w:t>
      </w:r>
      <w:r>
        <w:t>3.39.15–16.</w:t>
      </w:r>
    </w:p>
  </w:footnote>
  <w:footnote w:id="5">
    <w:p w14:paraId="2319ADB7" w14:textId="3CA0AF19" w:rsidR="002D498A" w:rsidRPr="00A14CF2" w:rsidRDefault="002D498A" w:rsidP="00A14CF2">
      <w:pPr>
        <w:pStyle w:val="FootnoteText"/>
        <w:jc w:val="both"/>
        <w:rPr>
          <w:b/>
        </w:rPr>
      </w:pPr>
      <w:r>
        <w:rPr>
          <w:rStyle w:val="FootnoteReference"/>
        </w:rPr>
        <w:footnoteRef/>
      </w:r>
      <w:r>
        <w:t xml:space="preserve"> The vague word “gist” is used by an exegete of the New Testament as conservative as Darrell L. Bock who acknowledges the limitations of the quest for the historical Jesus. Bultmann must be smiling in his grave. Bock</w:t>
      </w:r>
      <w:r w:rsidRPr="00A24B68">
        <w:t>, “The Historical Jesus</w:t>
      </w:r>
      <w:r>
        <w:t>,</w:t>
      </w:r>
      <w:r w:rsidRPr="00A24B68">
        <w:t xml:space="preserve">” </w:t>
      </w:r>
      <w:r>
        <w:t xml:space="preserve">p. 252. </w:t>
      </w:r>
    </w:p>
  </w:footnote>
  <w:footnote w:id="6">
    <w:p w14:paraId="2B2A0C4A" w14:textId="0675B57E" w:rsidR="002D498A" w:rsidRPr="00A14CF2" w:rsidRDefault="002D498A" w:rsidP="00A14CF2">
      <w:pPr>
        <w:pStyle w:val="FootnoteText"/>
        <w:jc w:val="both"/>
        <w:rPr>
          <w:b/>
        </w:rPr>
      </w:pPr>
      <w:r>
        <w:rPr>
          <w:rStyle w:val="FootnoteReference"/>
        </w:rPr>
        <w:footnoteRef/>
      </w:r>
      <w:r>
        <w:t xml:space="preserve"> </w:t>
      </w:r>
      <w:proofErr w:type="spellStart"/>
      <w:r>
        <w:t>Wansbrough</w:t>
      </w:r>
      <w:proofErr w:type="spellEnd"/>
      <w:r w:rsidR="00854D3B">
        <w:t xml:space="preserve"> </w:t>
      </w:r>
      <w:r>
        <w:t>used the term “biblical criticism” to justify the historical-critical analysis of the Qur’an</w:t>
      </w:r>
      <w:r w:rsidR="00900BCE">
        <w:t xml:space="preserve"> (Quranic Studies, p. xxi)</w:t>
      </w:r>
      <w:r>
        <w:t xml:space="preserve">. I prefer the term “historical criticism” to “biblical criticism,” since the latter risks prioritizing the historical inquiry of </w:t>
      </w:r>
      <w:r w:rsidRPr="00A24B68">
        <w:rPr>
          <w:i/>
          <w:iCs/>
        </w:rPr>
        <w:t>canonical</w:t>
      </w:r>
      <w:r>
        <w:t xml:space="preserve"> texts at the expense of neglecting the study of extra-canonical works. In the field of biblical studies, the term also tends anachronistically to compartmentalize early Jewish and Christian texts into canonical and non-canonical corpora (e.g., “Old Testament” vs. “intertestamental” literature; “canonical” vs. “apocryphal” or “pseudepigraphic” writings).  I wonder, by extension, whether its usage might also condition the historical investigation of early Islam by prioritizing the comparative study of the Qur’an with the “Bible,” overlooking vital points of contact with “non-biblical” texts such as </w:t>
      </w:r>
      <w:r w:rsidRPr="00A14CF2">
        <w:t xml:space="preserve">Jubilees </w:t>
      </w:r>
      <w:r>
        <w:t xml:space="preserve">or </w:t>
      </w:r>
      <w:r w:rsidRPr="00A14CF2">
        <w:t>1 Enoch</w:t>
      </w:r>
      <w:r>
        <w:t xml:space="preserve">. Nevertheless, it might be necessary for the time being to employ the term “biblical criticism” to signal the legitimacy of studying </w:t>
      </w:r>
      <w:r w:rsidRPr="009F56F6">
        <w:rPr>
          <w:i/>
          <w:iCs/>
        </w:rPr>
        <w:t>canonical</w:t>
      </w:r>
      <w:r>
        <w:t xml:space="preserve"> texts—Qur’an included—from a historical-critical point of view.</w:t>
      </w:r>
    </w:p>
  </w:footnote>
  <w:footnote w:id="7">
    <w:p w14:paraId="07263F50" w14:textId="77777777" w:rsidR="002D498A" w:rsidRPr="00580673" w:rsidRDefault="002D498A" w:rsidP="003D36AF">
      <w:pPr>
        <w:pStyle w:val="FootnoteText"/>
        <w:jc w:val="both"/>
      </w:pPr>
      <w:r>
        <w:rPr>
          <w:rStyle w:val="FootnoteReference"/>
        </w:rPr>
        <w:footnoteRef/>
      </w:r>
      <w:r>
        <w:t xml:space="preserve"> In Luke, Zechariah does not actually </w:t>
      </w:r>
      <w:r>
        <w:rPr>
          <w:i/>
          <w:iCs/>
        </w:rPr>
        <w:t xml:space="preserve">pray </w:t>
      </w:r>
      <w:r>
        <w:t xml:space="preserve">to have a child, as in Q 19:2–15. Nevertheless, this may be implied in Luke 1:13 (“your prayer has been heard”), and the Qur’an may be relying on or creatively expounding this Lukan verse. </w:t>
      </w:r>
    </w:p>
  </w:footnote>
  <w:footnote w:id="8">
    <w:p w14:paraId="61579E07" w14:textId="57C4F11C" w:rsidR="002D498A" w:rsidRPr="00EC4AF1" w:rsidRDefault="002D498A" w:rsidP="00EC4AF1">
      <w:pPr>
        <w:pStyle w:val="FootnoteText"/>
        <w:jc w:val="both"/>
        <w:rPr>
          <w:bCs/>
        </w:rPr>
      </w:pPr>
      <w:r>
        <w:rPr>
          <w:rStyle w:val="FootnoteReference"/>
        </w:rPr>
        <w:footnoteRef/>
      </w:r>
      <w:r>
        <w:t xml:space="preserve"> The book of the Acts of the Apostles, written presumably by the same redactor who gave Luke its final form, still knows of followers of John the Baptist who were not disciples of Jesus (Luke 5:33–39; 7:18–30;  Acts 18:25–19:7). Rivalry between both groups continued immediately after the time of John and Jesus, and account in part for the diverse ways the gospels deal with the admission that the former baptized the latter</w:t>
      </w:r>
      <w:r w:rsidRPr="00EC4AF1">
        <w:rPr>
          <w:bCs/>
        </w:rPr>
        <w:t xml:space="preserve">. </w:t>
      </w:r>
    </w:p>
  </w:footnote>
  <w:footnote w:id="9">
    <w:p w14:paraId="795654B2" w14:textId="77777777" w:rsidR="002D498A" w:rsidRPr="00D35C94" w:rsidRDefault="002D498A" w:rsidP="003D36AF">
      <w:pPr>
        <w:pStyle w:val="FootnoteText"/>
        <w:jc w:val="both"/>
      </w:pPr>
      <w:r>
        <w:rPr>
          <w:rStyle w:val="FootnoteReference"/>
        </w:rPr>
        <w:footnoteRef/>
      </w:r>
      <w:r>
        <w:t xml:space="preserve"> </w:t>
      </w:r>
      <w:r w:rsidRPr="00D35C94">
        <w:t>Yusuf Ali,</w:t>
      </w:r>
      <w:r>
        <w:t xml:space="preserve"> </w:t>
      </w:r>
      <w:r>
        <w:rPr>
          <w:i/>
          <w:iCs/>
        </w:rPr>
        <w:t>The Qur’an</w:t>
      </w:r>
      <w:r>
        <w:t>, p. 774, concedes: “Christ was not crucified (4. 157). But those who believe that he never died should ponder over this verse.”</w:t>
      </w:r>
    </w:p>
  </w:footnote>
  <w:footnote w:id="10">
    <w:p w14:paraId="7FFC2EEA" w14:textId="77777777" w:rsidR="002D498A" w:rsidRPr="00C1490F" w:rsidRDefault="002D498A" w:rsidP="003D36AF">
      <w:pPr>
        <w:pStyle w:val="FootnoteText"/>
        <w:jc w:val="both"/>
      </w:pPr>
      <w:r>
        <w:rPr>
          <w:rStyle w:val="FootnoteReference"/>
        </w:rPr>
        <w:footnoteRef/>
      </w:r>
      <w:r>
        <w:t xml:space="preserve"> Dating </w:t>
      </w:r>
      <w:r>
        <w:rPr>
          <w:i/>
          <w:iCs/>
        </w:rPr>
        <w:t xml:space="preserve">2 Enoch, </w:t>
      </w:r>
      <w:r>
        <w:t xml:space="preserve">however, is fraught with difficulties, and we must contend with Christian influence. See Orlov and Boccaccini, eds., </w:t>
      </w:r>
      <w:r>
        <w:rPr>
          <w:i/>
          <w:iCs/>
        </w:rPr>
        <w:t>New Perspectives on 2 Enoch</w:t>
      </w:r>
      <w:r>
        <w:t>.</w:t>
      </w:r>
    </w:p>
  </w:footnote>
  <w:footnote w:id="11">
    <w:p w14:paraId="08A0C9C3" w14:textId="77777777" w:rsidR="002D498A" w:rsidRDefault="002D498A" w:rsidP="003D36AF">
      <w:pPr>
        <w:pStyle w:val="FootnoteText"/>
        <w:jc w:val="both"/>
      </w:pPr>
      <w:r>
        <w:rPr>
          <w:rStyle w:val="FootnoteReference"/>
        </w:rPr>
        <w:footnoteRef/>
      </w:r>
      <w:r w:rsidRPr="00E428FD">
        <w:t xml:space="preserve"> Koehler and Baumgartner, </w:t>
      </w:r>
      <w:r>
        <w:rPr>
          <w:i/>
          <w:iCs/>
        </w:rPr>
        <w:t>The Hebrew and Aramaic Lexicon of the Old Testament</w:t>
      </w:r>
      <w:r>
        <w:t xml:space="preserve">; Brown, Driver, Briggs, </w:t>
      </w:r>
      <w:r>
        <w:rPr>
          <w:i/>
          <w:iCs/>
        </w:rPr>
        <w:t>The Brown-Driver-Briggs Hebrew and English Lexicon</w:t>
      </w:r>
      <w:r>
        <w:t xml:space="preserve">. </w:t>
      </w:r>
    </w:p>
  </w:footnote>
  <w:footnote w:id="12">
    <w:p w14:paraId="1B68EFF8" w14:textId="77777777" w:rsidR="002D498A" w:rsidRDefault="002D498A" w:rsidP="003D36AF">
      <w:pPr>
        <w:pStyle w:val="FootnoteText"/>
        <w:jc w:val="both"/>
      </w:pPr>
      <w:r>
        <w:rPr>
          <w:rStyle w:val="FootnoteReference"/>
        </w:rPr>
        <w:footnoteRef/>
      </w:r>
      <w:r>
        <w:t xml:space="preserve"> Jastrow, </w:t>
      </w:r>
      <w:r>
        <w:rPr>
          <w:i/>
          <w:iCs/>
        </w:rPr>
        <w:t>Dictionary of the Targumim, the Talmud Babli and Yerushalmi, and the Midrashic Literature</w:t>
      </w:r>
      <w:r>
        <w:t xml:space="preserve">. </w:t>
      </w:r>
    </w:p>
  </w:footnote>
  <w:footnote w:id="13">
    <w:p w14:paraId="23CAC46D" w14:textId="77777777" w:rsidR="002D498A" w:rsidRPr="0088557C" w:rsidRDefault="002D498A" w:rsidP="003D36AF">
      <w:pPr>
        <w:pStyle w:val="FootnoteText"/>
        <w:jc w:val="both"/>
      </w:pPr>
      <w:r>
        <w:rPr>
          <w:rStyle w:val="FootnoteReference"/>
        </w:rPr>
        <w:footnoteRef/>
      </w:r>
      <w:r>
        <w:t xml:space="preserve"> Smith, </w:t>
      </w:r>
      <w:r>
        <w:rPr>
          <w:i/>
          <w:iCs/>
        </w:rPr>
        <w:t>Compendious Syriac Dictionary</w:t>
      </w:r>
      <w:r>
        <w:t>.</w:t>
      </w:r>
    </w:p>
  </w:footnote>
  <w:footnote w:id="14">
    <w:p w14:paraId="34DE6071" w14:textId="77777777" w:rsidR="002D498A" w:rsidRDefault="002D498A" w:rsidP="003D36AF">
      <w:pPr>
        <w:pStyle w:val="FootnoteText"/>
        <w:jc w:val="both"/>
      </w:pPr>
      <w:r>
        <w:rPr>
          <w:rStyle w:val="FootnoteReference"/>
        </w:rPr>
        <w:footnoteRef/>
      </w:r>
      <w:r>
        <w:t xml:space="preserve"> This is how Dawood’s translation of the Qur’an renders it.</w:t>
      </w:r>
    </w:p>
  </w:footnote>
  <w:footnote w:id="15">
    <w:p w14:paraId="52269688" w14:textId="7C07B1D8" w:rsidR="002D498A" w:rsidRPr="00890EC2" w:rsidRDefault="002D498A" w:rsidP="003D36AF">
      <w:pPr>
        <w:pStyle w:val="FootnoteText"/>
        <w:jc w:val="both"/>
      </w:pPr>
      <w:r>
        <w:rPr>
          <w:rStyle w:val="FootnoteReference"/>
        </w:rPr>
        <w:footnoteRef/>
      </w:r>
      <w:r>
        <w:t xml:space="preserve"> </w:t>
      </w:r>
      <w:r w:rsidR="00726403">
        <w:t xml:space="preserve">Admittedly, the </w:t>
      </w:r>
      <w:r>
        <w:t xml:space="preserve">key Greek word, </w:t>
      </w:r>
      <w:proofErr w:type="spellStart"/>
      <w:r>
        <w:rPr>
          <w:i/>
          <w:iCs/>
        </w:rPr>
        <w:t>charis</w:t>
      </w:r>
      <w:proofErr w:type="spellEnd"/>
      <w:r>
        <w:rPr>
          <w:i/>
          <w:iCs/>
        </w:rPr>
        <w:t xml:space="preserve"> </w:t>
      </w:r>
      <w:r>
        <w:t xml:space="preserve">(the equivalent of the Hebrew </w:t>
      </w:r>
      <w:r>
        <w:rPr>
          <w:i/>
          <w:iCs/>
        </w:rPr>
        <w:t>hen</w:t>
      </w:r>
      <w:r>
        <w:t>)</w:t>
      </w:r>
      <w:r w:rsidR="00A14CF2">
        <w:t xml:space="preserve"> </w:t>
      </w:r>
      <w:r>
        <w:t>is missing here</w:t>
      </w:r>
      <w:r w:rsidR="00726403">
        <w:t>;</w:t>
      </w:r>
      <w:r>
        <w:t xml:space="preserve"> </w:t>
      </w:r>
      <w:r w:rsidR="00726403">
        <w:t xml:space="preserve">however, it </w:t>
      </w:r>
      <w:r>
        <w:t>appears in</w:t>
      </w:r>
      <w:r w:rsidR="00726403">
        <w:t xml:space="preserve"> the parallel expression in</w:t>
      </w:r>
      <w:r>
        <w:t xml:space="preserve"> Luke 2:52</w:t>
      </w:r>
      <w:r>
        <w:rPr>
          <w:i/>
          <w:iCs/>
        </w:rPr>
        <w:t xml:space="preserve"> </w:t>
      </w:r>
      <w:r>
        <w:t xml:space="preserve">in reference to the child Jesus. </w:t>
      </w:r>
    </w:p>
  </w:footnote>
  <w:footnote w:id="16">
    <w:p w14:paraId="2D69C430" w14:textId="77777777" w:rsidR="002D498A" w:rsidRPr="007B259A" w:rsidRDefault="002D498A" w:rsidP="003D36AF">
      <w:pPr>
        <w:pStyle w:val="FootnoteText"/>
        <w:jc w:val="both"/>
      </w:pPr>
      <w:r>
        <w:rPr>
          <w:rStyle w:val="FootnoteReference"/>
        </w:rPr>
        <w:footnoteRef/>
      </w:r>
      <w:r>
        <w:t xml:space="preserve"> Her book is an abridged, updated version of her previous </w:t>
      </w:r>
      <w:r>
        <w:rPr>
          <w:i/>
          <w:iCs/>
        </w:rPr>
        <w:t xml:space="preserve">Muhammad: A Biography of the Prophet </w:t>
      </w:r>
      <w:r>
        <w:t>in which she confesses a particular reliance on the work of William Montgomery Watt.</w:t>
      </w:r>
    </w:p>
  </w:footnote>
  <w:footnote w:id="17">
    <w:p w14:paraId="4D9824AD" w14:textId="326023D3" w:rsidR="002D498A" w:rsidRPr="00EC4AF1" w:rsidRDefault="002D498A" w:rsidP="00EC4AF1">
      <w:pPr>
        <w:pStyle w:val="FootnoteText"/>
        <w:jc w:val="both"/>
        <w:rPr>
          <w:b/>
        </w:rPr>
      </w:pPr>
      <w:r>
        <w:rPr>
          <w:rStyle w:val="FootnoteReference"/>
        </w:rPr>
        <w:footnoteRef/>
      </w:r>
      <w:r>
        <w:t xml:space="preserve"> See, for example, the appendix of Michael Sells, </w:t>
      </w:r>
      <w:r>
        <w:rPr>
          <w:i/>
          <w:iCs/>
        </w:rPr>
        <w:t xml:space="preserve">Approaching the </w:t>
      </w:r>
      <w:r w:rsidRPr="0047238E">
        <w:rPr>
          <w:i/>
          <w:iCs/>
        </w:rPr>
        <w:t>Qur’an</w:t>
      </w:r>
      <w:r>
        <w:t xml:space="preserve">, p. </w:t>
      </w:r>
      <w:r w:rsidRPr="0047238E">
        <w:t>229</w:t>
      </w:r>
      <w:r>
        <w:t xml:space="preserve">. On the same page one also finds as suggested readings the </w:t>
      </w:r>
      <w:r w:rsidR="00BD030F">
        <w:t xml:space="preserve">academic </w:t>
      </w:r>
      <w:r>
        <w:t xml:space="preserve">works of </w:t>
      </w:r>
      <w:r w:rsidR="00BD030F">
        <w:t xml:space="preserve">accomplished scholars such as </w:t>
      </w:r>
      <w:r>
        <w:t xml:space="preserve">Cook, </w:t>
      </w:r>
      <w:r>
        <w:rPr>
          <w:i/>
          <w:iCs/>
        </w:rPr>
        <w:t>Muhammad</w:t>
      </w:r>
      <w:r>
        <w:t xml:space="preserve">; Peters, </w:t>
      </w:r>
      <w:r>
        <w:rPr>
          <w:i/>
          <w:iCs/>
        </w:rPr>
        <w:t>Muhammad and the Origins of Islam</w:t>
      </w:r>
      <w:r>
        <w:t xml:space="preserve">; and Crone, </w:t>
      </w:r>
      <w:r>
        <w:rPr>
          <w:i/>
          <w:iCs/>
        </w:rPr>
        <w:t>Meccan Trade</w:t>
      </w:r>
      <w:r>
        <w:t xml:space="preserve">. </w:t>
      </w:r>
    </w:p>
  </w:footnote>
  <w:footnote w:id="18">
    <w:p w14:paraId="60C3E660" w14:textId="77777777" w:rsidR="002D498A" w:rsidRDefault="002D498A" w:rsidP="003D36AF">
      <w:pPr>
        <w:pStyle w:val="FootnoteText"/>
        <w:jc w:val="both"/>
      </w:pPr>
      <w:r>
        <w:rPr>
          <w:rStyle w:val="FootnoteReference"/>
        </w:rPr>
        <w:footnoteRef/>
      </w:r>
      <w:r>
        <w:t xml:space="preserve"> Armstrong, </w:t>
      </w:r>
      <w:r>
        <w:rPr>
          <w:i/>
          <w:iCs/>
        </w:rPr>
        <w:t>Muhammad</w:t>
      </w:r>
      <w:r>
        <w:t xml:space="preserve">: </w:t>
      </w:r>
      <w:r>
        <w:rPr>
          <w:i/>
          <w:iCs/>
        </w:rPr>
        <w:t xml:space="preserve">A Prophet for Our Time, </w:t>
      </w:r>
      <w:r>
        <w:t>p. 15.</w:t>
      </w:r>
    </w:p>
  </w:footnote>
  <w:footnote w:id="19">
    <w:p w14:paraId="5669CF6F" w14:textId="77777777" w:rsidR="002D498A" w:rsidRDefault="002D498A" w:rsidP="003D36AF">
      <w:pPr>
        <w:pStyle w:val="FootnoteText"/>
        <w:jc w:val="both"/>
      </w:pPr>
      <w:r>
        <w:rPr>
          <w:rStyle w:val="FootnoteReference"/>
        </w:rPr>
        <w:footnoteRef/>
      </w:r>
      <w:r>
        <w:t xml:space="preserve"> Armstrong, </w:t>
      </w:r>
      <w:r>
        <w:rPr>
          <w:i/>
          <w:iCs/>
        </w:rPr>
        <w:t xml:space="preserve">Muhammad: A Prophet for Our Time, </w:t>
      </w:r>
      <w:r>
        <w:t>p. 16</w:t>
      </w:r>
    </w:p>
  </w:footnote>
  <w:footnote w:id="20">
    <w:p w14:paraId="3447B801" w14:textId="77777777" w:rsidR="002D498A" w:rsidRDefault="002D498A" w:rsidP="003D36AF">
      <w:pPr>
        <w:pStyle w:val="FootnoteText"/>
        <w:jc w:val="both"/>
      </w:pPr>
      <w:r>
        <w:rPr>
          <w:rStyle w:val="FootnoteReference"/>
        </w:rPr>
        <w:footnoteRef/>
      </w:r>
      <w:r>
        <w:t xml:space="preserve"> See her best-selling book, </w:t>
      </w:r>
      <w:r>
        <w:rPr>
          <w:i/>
          <w:iCs/>
        </w:rPr>
        <w:t xml:space="preserve">A History of </w:t>
      </w:r>
      <w:r w:rsidRPr="00A00C5D">
        <w:rPr>
          <w:i/>
          <w:iCs/>
        </w:rPr>
        <w:t>God</w:t>
      </w:r>
      <w:r>
        <w:t xml:space="preserve">, p. </w:t>
      </w:r>
      <w:r w:rsidRPr="00A00C5D">
        <w:t>81</w:t>
      </w:r>
      <w:r>
        <w:t xml:space="preserve">, where she even qualifies the tone of Matthew as “anti-Semitic.” </w:t>
      </w:r>
    </w:p>
  </w:footnote>
  <w:footnote w:id="21">
    <w:p w14:paraId="3E6AE0AB" w14:textId="77777777" w:rsidR="002D498A" w:rsidRDefault="002D498A" w:rsidP="003D36AF">
      <w:pPr>
        <w:pStyle w:val="FootnoteText"/>
        <w:jc w:val="both"/>
      </w:pPr>
      <w:r>
        <w:rPr>
          <w:rStyle w:val="FootnoteReference"/>
        </w:rPr>
        <w:footnoteRef/>
      </w:r>
      <w:r>
        <w:t xml:space="preserve"> As Seth Schwartz notes, there was a tendency until (but even beyond) Jacob Neusner’s groundbreaking studies to search for the historical kernel of episodes reported in early rabbinic literature (e.g., Talmud), once the unbelievable was stripped away. Neusner’s introduction of historical-critical methods used in biblical studies by the likes of Gunkel and Bultmann radically changed the field of early rabbinic studies. On this matter, see Schwartz, “Historiography of the ‘Talmudic Period,’” pp. 101–2. </w:t>
      </w:r>
    </w:p>
  </w:footnote>
  <w:footnote w:id="22">
    <w:p w14:paraId="2539E5F3" w14:textId="77777777" w:rsidR="002D498A" w:rsidRDefault="002D498A" w:rsidP="003D36AF">
      <w:pPr>
        <w:pStyle w:val="FootnoteText"/>
        <w:jc w:val="both"/>
      </w:pPr>
      <w:r>
        <w:rPr>
          <w:rStyle w:val="FootnoteReference"/>
        </w:rPr>
        <w:footnoteRef/>
      </w:r>
      <w:r>
        <w:t xml:space="preserve"> Esposito, </w:t>
      </w:r>
      <w:r>
        <w:rPr>
          <w:i/>
          <w:iCs/>
        </w:rPr>
        <w:t xml:space="preserve">Islam, </w:t>
      </w:r>
      <w:r>
        <w:t>p. 6.</w:t>
      </w:r>
    </w:p>
  </w:footnote>
  <w:footnote w:id="23">
    <w:p w14:paraId="39376F59" w14:textId="77777777" w:rsidR="002D498A" w:rsidRDefault="002D498A" w:rsidP="003D36AF">
      <w:pPr>
        <w:pStyle w:val="FootnoteText"/>
        <w:jc w:val="both"/>
      </w:pPr>
      <w:r>
        <w:rPr>
          <w:rStyle w:val="FootnoteReference"/>
        </w:rPr>
        <w:footnoteRef/>
      </w:r>
      <w:r>
        <w:t xml:space="preserve"> Ibid.</w:t>
      </w:r>
    </w:p>
  </w:footnote>
  <w:footnote w:id="24">
    <w:p w14:paraId="1EB77B88" w14:textId="77777777" w:rsidR="002D498A" w:rsidRDefault="002D498A" w:rsidP="003D36AF">
      <w:pPr>
        <w:pStyle w:val="FootnoteText"/>
        <w:jc w:val="both"/>
      </w:pPr>
      <w:r>
        <w:rPr>
          <w:rStyle w:val="FootnoteReference"/>
        </w:rPr>
        <w:footnoteRef/>
      </w:r>
      <w:r>
        <w:t xml:space="preserve"> John Esposito’s DVD lectures and course guidebook, </w:t>
      </w:r>
      <w:r w:rsidRPr="00AB5EB6">
        <w:rPr>
          <w:i/>
          <w:iCs/>
        </w:rPr>
        <w:t>Great World Religions: Islam</w:t>
      </w:r>
      <w:r>
        <w:rPr>
          <w:i/>
          <w:iCs/>
        </w:rPr>
        <w:t xml:space="preserve"> </w:t>
      </w:r>
      <w:r>
        <w:t>presents the Qur’an and the life of Muhammad essentially in the same way.</w:t>
      </w:r>
    </w:p>
  </w:footnote>
  <w:footnote w:id="25">
    <w:p w14:paraId="000ACDDA" w14:textId="77777777" w:rsidR="002D498A" w:rsidRDefault="002D498A" w:rsidP="003D36AF">
      <w:pPr>
        <w:pStyle w:val="FootnoteText"/>
        <w:jc w:val="both"/>
      </w:pPr>
      <w:r>
        <w:rPr>
          <w:rStyle w:val="FootnoteReference"/>
        </w:rPr>
        <w:footnoteRef/>
      </w:r>
      <w:r>
        <w:t xml:space="preserve"> The book generated unfortunate controversy when it was selected as annual assignment for incoming students at the University of North Carolina in Chapel Hill. The controversy is recounted in the preface of the book.</w:t>
      </w:r>
    </w:p>
  </w:footnote>
  <w:footnote w:id="26">
    <w:p w14:paraId="3987D593" w14:textId="77777777" w:rsidR="002D498A" w:rsidRPr="00DF16DD" w:rsidRDefault="002D498A" w:rsidP="003D36AF">
      <w:pPr>
        <w:pStyle w:val="FootnoteText"/>
        <w:jc w:val="both"/>
      </w:pPr>
      <w:r>
        <w:rPr>
          <w:rStyle w:val="FootnoteReference"/>
        </w:rPr>
        <w:footnoteRef/>
      </w:r>
      <w:r>
        <w:t xml:space="preserve"> Dawood, </w:t>
      </w:r>
      <w:r>
        <w:rPr>
          <w:i/>
          <w:iCs/>
        </w:rPr>
        <w:t>The Koran</w:t>
      </w:r>
      <w:r>
        <w:t>. Penguin first published Dawood’s translation in 1956. It has been republished multiple times with several changes and updates.</w:t>
      </w:r>
    </w:p>
  </w:footnote>
  <w:footnote w:id="27">
    <w:p w14:paraId="2B1936C8" w14:textId="514D2334" w:rsidR="002D498A" w:rsidRPr="00F3110E" w:rsidRDefault="002D498A" w:rsidP="003D36AF">
      <w:pPr>
        <w:pStyle w:val="FootnoteText"/>
        <w:jc w:val="both"/>
      </w:pPr>
      <w:r>
        <w:rPr>
          <w:rStyle w:val="FootnoteReference"/>
        </w:rPr>
        <w:footnoteRef/>
      </w:r>
      <w:r>
        <w:t xml:space="preserve"> </w:t>
      </w:r>
      <w:r w:rsidR="00062327">
        <w:t xml:space="preserve">His criticism is understandable, given the prejudice and excessive positivism of some Orientalists during and before </w:t>
      </w:r>
      <w:proofErr w:type="spellStart"/>
      <w:r w:rsidR="00062327">
        <w:t>Arberry’s</w:t>
      </w:r>
      <w:proofErr w:type="spellEnd"/>
      <w:r w:rsidR="00062327">
        <w:t xml:space="preserve"> time. </w:t>
      </w:r>
      <w:proofErr w:type="spellStart"/>
      <w:r>
        <w:t>Arberry</w:t>
      </w:r>
      <w:proofErr w:type="spellEnd"/>
      <w:r>
        <w:t xml:space="preserve">, </w:t>
      </w:r>
      <w:r>
        <w:rPr>
          <w:i/>
          <w:iCs/>
        </w:rPr>
        <w:t>The Koran Interpreted</w:t>
      </w:r>
      <w:r>
        <w:t>, vol. 2 p. 10: “Disciples of the Higher Criticism, having watched with fascinated admiration how their masters played havoc with the traditional sacrosanctity of the Bible, threw themselves with brisk enthusiasm into the congenial task of demolishing the Koran</w:t>
      </w:r>
      <w:r>
        <w:rPr>
          <w:i/>
          <w:iCs/>
        </w:rPr>
        <w:t>.</w:t>
      </w:r>
      <w:r>
        <w:t xml:space="preserve">” </w:t>
      </w:r>
      <w:proofErr w:type="spellStart"/>
      <w:r>
        <w:t>Arberry</w:t>
      </w:r>
      <w:proofErr w:type="spellEnd"/>
      <w:r>
        <w:t xml:space="preserve"> then (rightfully) criticizes the excessive anatomical analysis of higher critics of his time. </w:t>
      </w:r>
      <w:proofErr w:type="spellStart"/>
      <w:r>
        <w:t>Arberry</w:t>
      </w:r>
      <w:proofErr w:type="spellEnd"/>
      <w:r>
        <w:t xml:space="preserve"> first translated suras 1–20 and then suras 21–114. They were published together in 1955 (London: Allen &amp; Unwin).</w:t>
      </w:r>
    </w:p>
  </w:footnote>
  <w:footnote w:id="28">
    <w:p w14:paraId="015757A0" w14:textId="77777777" w:rsidR="002D498A" w:rsidRPr="004749DA" w:rsidRDefault="002D498A" w:rsidP="003D36AF">
      <w:pPr>
        <w:pStyle w:val="FootnoteText"/>
        <w:jc w:val="both"/>
      </w:pPr>
      <w:r>
        <w:rPr>
          <w:rStyle w:val="FootnoteReference"/>
        </w:rPr>
        <w:footnoteRef/>
      </w:r>
      <w:r w:rsidRPr="0013163B">
        <w:t xml:space="preserve"> </w:t>
      </w:r>
      <w:r>
        <w:t xml:space="preserve">Unfortunately, Yusuf Ali’s annotations contain problematic statements about Jews and Judaism. See Muhammad, “Assessing English Translations of the Qur’an,” </w:t>
      </w:r>
      <w:r w:rsidRPr="00AB5EB6">
        <w:t>pp.</w:t>
      </w:r>
      <w:r>
        <w:rPr>
          <w:i/>
          <w:iCs/>
        </w:rPr>
        <w:t xml:space="preserve"> </w:t>
      </w:r>
      <w:r>
        <w:t xml:space="preserve">58–71 for a very insightful assessment of various Quranic translations, including ones not treated here. See also Reynolds, “Islamic Studies.” </w:t>
      </w:r>
    </w:p>
  </w:footnote>
  <w:footnote w:id="29">
    <w:p w14:paraId="0EC934C0" w14:textId="77777777" w:rsidR="002D498A" w:rsidRPr="00AC70E3" w:rsidRDefault="002D498A" w:rsidP="003D36AF">
      <w:pPr>
        <w:pStyle w:val="FootnoteText"/>
        <w:jc w:val="both"/>
      </w:pPr>
      <w:r>
        <w:rPr>
          <w:rStyle w:val="FootnoteReference"/>
        </w:rPr>
        <w:footnoteRef/>
      </w:r>
      <w:r>
        <w:t xml:space="preserve"> See Abdel Haleem, </w:t>
      </w:r>
      <w:r>
        <w:rPr>
          <w:i/>
          <w:iCs/>
        </w:rPr>
        <w:t>The Qur’an</w:t>
      </w:r>
      <w:r>
        <w:t>, pp. xxviii–xxix, for a short critique.</w:t>
      </w:r>
    </w:p>
  </w:footnote>
  <w:footnote w:id="30">
    <w:p w14:paraId="57F94FE3" w14:textId="695EEFF9" w:rsidR="002D498A" w:rsidRPr="006901B5" w:rsidRDefault="002D498A" w:rsidP="00062327">
      <w:pPr>
        <w:pStyle w:val="FootnoteText"/>
        <w:jc w:val="both"/>
      </w:pPr>
      <w:r>
        <w:rPr>
          <w:rStyle w:val="FootnoteReference"/>
        </w:rPr>
        <w:footnoteRef/>
      </w:r>
      <w:r>
        <w:t xml:space="preserve"> To their credit, Yusuf Ali and Asa occasionally cite biblical references in their annotations. </w:t>
      </w:r>
    </w:p>
  </w:footnote>
  <w:footnote w:id="31">
    <w:p w14:paraId="127AAE44" w14:textId="77777777" w:rsidR="002D498A" w:rsidRDefault="002D498A" w:rsidP="003D36AF">
      <w:pPr>
        <w:pStyle w:val="FootnoteText"/>
        <w:jc w:val="both"/>
      </w:pPr>
      <w:r>
        <w:rPr>
          <w:rStyle w:val="FootnoteReference"/>
        </w:rPr>
        <w:footnoteRef/>
      </w:r>
      <w:r>
        <w:t xml:space="preserve"> Cf. Mohammed, “Assessing English Translations of the Qur’an”: </w:t>
      </w:r>
      <w:r w:rsidRPr="006901B5">
        <w:rPr>
          <w:rFonts w:cs="Times New Roman"/>
        </w:rPr>
        <w:t>“</w:t>
      </w:r>
      <w:r w:rsidRPr="006901B5">
        <w:rPr>
          <w:rFonts w:cs="Times New Roman"/>
          <w:color w:val="000000"/>
          <w:shd w:val="clear" w:color="auto" w:fill="FFFFFF"/>
        </w:rPr>
        <w:t>Considering that the translator is a professor of Islamic studies at a secular university and ought to be aware of the haziness of early Islamic history, he should have adopted a more cautious approach to presenting such information as fact.”</w:t>
      </w:r>
    </w:p>
  </w:footnote>
  <w:footnote w:id="32">
    <w:p w14:paraId="077C2CFD" w14:textId="3808E260" w:rsidR="002D498A" w:rsidRDefault="002D498A" w:rsidP="003D36AF">
      <w:pPr>
        <w:pStyle w:val="FootnoteText"/>
        <w:jc w:val="both"/>
      </w:pPr>
      <w:r>
        <w:rPr>
          <w:rStyle w:val="FootnoteReference"/>
        </w:rPr>
        <w:footnoteRef/>
      </w:r>
      <w:r>
        <w:t xml:space="preserve"> An entire session was devoted to the edition at the annual meeting of AAR in Atlanta.</w:t>
      </w:r>
    </w:p>
  </w:footnote>
  <w:footnote w:id="33">
    <w:p w14:paraId="41D6A7EC" w14:textId="19E214F7" w:rsidR="002D498A" w:rsidRDefault="002D498A" w:rsidP="00441947">
      <w:pPr>
        <w:pStyle w:val="FootnoteText"/>
        <w:jc w:val="both"/>
      </w:pPr>
      <w:r>
        <w:rPr>
          <w:rStyle w:val="FootnoteReference"/>
        </w:rPr>
        <w:footnoteRef/>
      </w:r>
      <w:r>
        <w:t xml:space="preserve"> </w:t>
      </w:r>
      <w:r w:rsidR="00441947">
        <w:t xml:space="preserve">Italics </w:t>
      </w:r>
      <w:r>
        <w:t>Nasr</w:t>
      </w:r>
      <w:r w:rsidR="00441947">
        <w:t>’s</w:t>
      </w:r>
      <w:r>
        <w:t xml:space="preserve">, “General Introduction,” </w:t>
      </w:r>
      <w:r>
        <w:rPr>
          <w:i/>
          <w:iCs/>
        </w:rPr>
        <w:t xml:space="preserve">The Study Quran, </w:t>
      </w:r>
      <w:r w:rsidR="00295209">
        <w:t xml:space="preserve">p. </w:t>
      </w:r>
      <w:r>
        <w:t xml:space="preserve">xl. </w:t>
      </w:r>
    </w:p>
  </w:footnote>
  <w:footnote w:id="34">
    <w:p w14:paraId="62F4E38C" w14:textId="0BDC0366" w:rsidR="002D498A" w:rsidRDefault="002D498A" w:rsidP="003D36AF">
      <w:pPr>
        <w:pStyle w:val="FootnoteText"/>
        <w:jc w:val="both"/>
      </w:pPr>
      <w:r>
        <w:rPr>
          <w:rStyle w:val="FootnoteReference"/>
        </w:rPr>
        <w:footnoteRef/>
      </w:r>
      <w:r>
        <w:t xml:space="preserve"> Nasr, “General Introduction,” </w:t>
      </w:r>
      <w:r>
        <w:rPr>
          <w:i/>
          <w:iCs/>
        </w:rPr>
        <w:t xml:space="preserve">The Study Quran, </w:t>
      </w:r>
      <w:r w:rsidR="00295209">
        <w:t xml:space="preserve">p. </w:t>
      </w:r>
      <w:r>
        <w:t>xl.</w:t>
      </w:r>
    </w:p>
  </w:footnote>
  <w:footnote w:id="35">
    <w:p w14:paraId="67CA5164" w14:textId="127B290A" w:rsidR="002D498A" w:rsidRPr="001659CC" w:rsidRDefault="002D498A" w:rsidP="003D36AF">
      <w:pPr>
        <w:pStyle w:val="FootnoteText"/>
        <w:jc w:val="both"/>
      </w:pPr>
      <w:r>
        <w:rPr>
          <w:rStyle w:val="FootnoteReference"/>
        </w:rPr>
        <w:footnoteRef/>
      </w:r>
      <w:r>
        <w:t xml:space="preserve"> Nasr, “General Introduction,” </w:t>
      </w:r>
      <w:r>
        <w:rPr>
          <w:i/>
          <w:iCs/>
        </w:rPr>
        <w:t xml:space="preserve">The Study Quran, </w:t>
      </w:r>
      <w:r w:rsidR="00295209">
        <w:t xml:space="preserve">p. </w:t>
      </w:r>
      <w:r>
        <w:t>xliv.</w:t>
      </w:r>
    </w:p>
  </w:footnote>
  <w:footnote w:id="36">
    <w:p w14:paraId="57A159DF" w14:textId="5D1074F2" w:rsidR="002D498A" w:rsidRPr="005F63D8" w:rsidRDefault="002D498A" w:rsidP="003D36AF">
      <w:pPr>
        <w:pStyle w:val="FootnoteText"/>
        <w:jc w:val="both"/>
      </w:pPr>
      <w:r>
        <w:rPr>
          <w:rStyle w:val="FootnoteReference"/>
        </w:rPr>
        <w:footnoteRef/>
      </w:r>
      <w:r>
        <w:t xml:space="preserve"> Khan and Al-</w:t>
      </w:r>
      <w:proofErr w:type="spellStart"/>
      <w:r>
        <w:t>Hilali</w:t>
      </w:r>
      <w:proofErr w:type="spellEnd"/>
      <w:r>
        <w:t xml:space="preserve">, </w:t>
      </w:r>
      <w:r>
        <w:rPr>
          <w:i/>
          <w:iCs/>
        </w:rPr>
        <w:t xml:space="preserve">The Noble Quran, </w:t>
      </w:r>
      <w:r>
        <w:t>provide annotations from At-Tabari, Al-</w:t>
      </w:r>
      <w:proofErr w:type="spellStart"/>
      <w:r>
        <w:t>Qurtubi</w:t>
      </w:r>
      <w:proofErr w:type="spellEnd"/>
      <w:r>
        <w:t xml:space="preserve">, Ibn </w:t>
      </w:r>
      <w:proofErr w:type="spellStart"/>
      <w:r>
        <w:t>Kathir</w:t>
      </w:r>
      <w:proofErr w:type="spellEnd"/>
      <w:r>
        <w:t xml:space="preserve">, and Sahih Al-Bukhari. </w:t>
      </w:r>
      <w:r>
        <w:rPr>
          <w:i/>
          <w:iCs/>
        </w:rPr>
        <w:t>The Study Quran</w:t>
      </w:r>
      <w:r>
        <w:t xml:space="preserve"> </w:t>
      </w:r>
      <w:r w:rsidR="00441947">
        <w:t xml:space="preserve">also consults these sources and, admittedly, many </w:t>
      </w:r>
      <w:r>
        <w:t xml:space="preserve">other medieval works. </w:t>
      </w:r>
    </w:p>
  </w:footnote>
  <w:footnote w:id="37">
    <w:p w14:paraId="6401931B" w14:textId="77777777" w:rsidR="002D498A" w:rsidRPr="00E76AEE" w:rsidRDefault="002D498A" w:rsidP="003D36AF">
      <w:pPr>
        <w:pStyle w:val="FootnoteText"/>
        <w:jc w:val="both"/>
      </w:pPr>
      <w:r>
        <w:rPr>
          <w:rStyle w:val="FootnoteReference"/>
        </w:rPr>
        <w:footnoteRef/>
      </w:r>
      <w:r>
        <w:t xml:space="preserve"> One may add that far more </w:t>
      </w:r>
      <w:r w:rsidRPr="00120CA2">
        <w:rPr>
          <w:i/>
          <w:iCs/>
        </w:rPr>
        <w:t>contemporary</w:t>
      </w:r>
      <w:r>
        <w:t xml:space="preserve"> documentation is available from the time Joseph Smith and Ellen G. White lived, two proclaimed prophets who allegedly received revelations. </w:t>
      </w:r>
    </w:p>
  </w:footnote>
  <w:footnote w:id="38">
    <w:p w14:paraId="2B755D82" w14:textId="77777777" w:rsidR="002D498A" w:rsidRPr="000F43F6" w:rsidRDefault="002D498A" w:rsidP="003D36AF">
      <w:pPr>
        <w:pStyle w:val="FootnoteText"/>
        <w:jc w:val="both"/>
      </w:pPr>
      <w:r w:rsidRPr="000F43F6">
        <w:rPr>
          <w:rStyle w:val="FootnoteReference"/>
        </w:rPr>
        <w:footnoteRef/>
      </w:r>
      <w:r w:rsidRPr="000F43F6">
        <w:t xml:space="preserve"> </w:t>
      </w:r>
      <w:r>
        <w:t xml:space="preserve">Peters, </w:t>
      </w:r>
      <w:r>
        <w:rPr>
          <w:i/>
          <w:iCs/>
        </w:rPr>
        <w:t>The Children of Abraham</w:t>
      </w:r>
      <w:r>
        <w:t xml:space="preserve">. In the 2004 edition of this book, Peters updates his pioneering work, which he carried out for decades, pointing out the rich parallels and differences between Judaism, Christianity, and Islam, “all children born of the same Father and reared in the bosom of Abraham” (p. xvii). Cataloguing Judaism, Christianity, and Islam as “Abrahamic,” useful for theological discussion, comes, however, with its own set of problems. On a critique of the usage of this category for religious studies, see Hughes, </w:t>
      </w:r>
      <w:r>
        <w:rPr>
          <w:i/>
          <w:iCs/>
        </w:rPr>
        <w:t>Abrahamic Religions</w:t>
      </w:r>
      <w:r>
        <w:t>.</w:t>
      </w:r>
    </w:p>
  </w:footnote>
  <w:footnote w:id="39">
    <w:p w14:paraId="509110E1" w14:textId="77777777" w:rsidR="002D498A" w:rsidRDefault="002D498A" w:rsidP="003D36AF">
      <w:pPr>
        <w:pStyle w:val="FootnoteText"/>
        <w:jc w:val="both"/>
      </w:pPr>
      <w:r>
        <w:rPr>
          <w:rStyle w:val="FootnoteReference"/>
        </w:rPr>
        <w:footnoteRef/>
      </w:r>
      <w:r>
        <w:t xml:space="preserve"> Peters, </w:t>
      </w:r>
      <w:r>
        <w:rPr>
          <w:i/>
          <w:iCs/>
        </w:rPr>
        <w:t>The Children of Abraham</w:t>
      </w:r>
      <w:r>
        <w:t>, p. 31.</w:t>
      </w:r>
    </w:p>
  </w:footnote>
  <w:footnote w:id="40">
    <w:p w14:paraId="68415A9B" w14:textId="77777777" w:rsidR="002D498A" w:rsidRDefault="002D498A" w:rsidP="003D36AF">
      <w:pPr>
        <w:pStyle w:val="FootnoteText"/>
        <w:jc w:val="both"/>
      </w:pPr>
      <w:r>
        <w:rPr>
          <w:rStyle w:val="FootnoteReference"/>
        </w:rPr>
        <w:footnoteRef/>
      </w:r>
      <w:r>
        <w:t xml:space="preserve"> Peters, </w:t>
      </w:r>
      <w:r>
        <w:rPr>
          <w:i/>
          <w:iCs/>
        </w:rPr>
        <w:t>The Children of Abraham</w:t>
      </w:r>
      <w:r>
        <w:t>, p. 31.</w:t>
      </w:r>
    </w:p>
  </w:footnote>
  <w:footnote w:id="41">
    <w:p w14:paraId="2E3DE877" w14:textId="77777777" w:rsidR="002D498A" w:rsidRDefault="002D498A" w:rsidP="003D36AF">
      <w:pPr>
        <w:pStyle w:val="FootnoteText"/>
        <w:jc w:val="both"/>
      </w:pPr>
      <w:r>
        <w:rPr>
          <w:rStyle w:val="FootnoteReference"/>
        </w:rPr>
        <w:footnoteRef/>
      </w:r>
      <w:r>
        <w:t xml:space="preserve"> Peters, </w:t>
      </w:r>
      <w:r>
        <w:rPr>
          <w:i/>
          <w:iCs/>
        </w:rPr>
        <w:t>The Children of Abraham</w:t>
      </w:r>
      <w:r>
        <w:t>, p. 32.</w:t>
      </w:r>
    </w:p>
  </w:footnote>
  <w:footnote w:id="42">
    <w:p w14:paraId="180BF63F" w14:textId="77777777" w:rsidR="002D498A" w:rsidRDefault="002D498A" w:rsidP="003D36AF">
      <w:pPr>
        <w:pStyle w:val="FootnoteText"/>
        <w:jc w:val="both"/>
      </w:pPr>
      <w:r>
        <w:rPr>
          <w:rStyle w:val="FootnoteReference"/>
        </w:rPr>
        <w:footnoteRef/>
      </w:r>
      <w:r>
        <w:t xml:space="preserve"> Peters, </w:t>
      </w:r>
      <w:r>
        <w:rPr>
          <w:i/>
          <w:iCs/>
        </w:rPr>
        <w:t>The Children of Abraham</w:t>
      </w:r>
      <w:r>
        <w:t>, pp. 32–33.</w:t>
      </w:r>
    </w:p>
  </w:footnote>
  <w:footnote w:id="43">
    <w:p w14:paraId="1DF2A0A3" w14:textId="1A39343D" w:rsidR="002D498A" w:rsidRDefault="002D498A" w:rsidP="003D36AF">
      <w:pPr>
        <w:pStyle w:val="FootnoteText"/>
        <w:jc w:val="both"/>
      </w:pPr>
      <w:r>
        <w:rPr>
          <w:rStyle w:val="FootnoteReference"/>
        </w:rPr>
        <w:footnoteRef/>
      </w:r>
      <w:r>
        <w:t xml:space="preserve"> Peters, </w:t>
      </w:r>
      <w:r>
        <w:rPr>
          <w:i/>
          <w:iCs/>
        </w:rPr>
        <w:t>The Children of Abraham</w:t>
      </w:r>
      <w:r>
        <w:t xml:space="preserve">,  p. 33: “If the Quran came forth from the mouth of Muhammad, as it seems to have, then, whether God’s word or Muhammad’s own, it was uttered in terms comprehensible to a seventh-century Meccan and so may </w:t>
      </w:r>
      <w:r w:rsidR="00A323C0">
        <w:t>serve</w:t>
      </w:r>
      <w:r>
        <w:t xml:space="preserve">, with some basic adjustments, as a rough guide to the emergence of Islam. If we can credit it to Muhammad himself, the Quran may also reveal the evolution of the Prophet’s spiritual life, and his religious and political problems and strategies.” Peters’ approach is reflected more fully in his specialized work, </w:t>
      </w:r>
      <w:r>
        <w:rPr>
          <w:i/>
          <w:iCs/>
        </w:rPr>
        <w:t>Muhammad and the Origins of Islam</w:t>
      </w:r>
      <w:r>
        <w:t xml:space="preserve">, where he initially underscores the enormous difficulties confronting the “quest of the historical Muhammad,” only to proceed </w:t>
      </w:r>
      <w:r w:rsidR="00A323C0">
        <w:t xml:space="preserve">with </w:t>
      </w:r>
      <w:r>
        <w:t xml:space="preserve">the traditional story about Muhammad while </w:t>
      </w:r>
      <w:r w:rsidR="00A323C0">
        <w:t>placing the</w:t>
      </w:r>
      <w:r>
        <w:t xml:space="preserve"> more technical discussions </w:t>
      </w:r>
      <w:r w:rsidR="00A323C0">
        <w:t xml:space="preserve">in </w:t>
      </w:r>
      <w:r>
        <w:t>the appendix of his book.</w:t>
      </w:r>
    </w:p>
  </w:footnote>
  <w:footnote w:id="44">
    <w:p w14:paraId="00094737" w14:textId="091FDBD4" w:rsidR="002D498A" w:rsidRDefault="002D498A" w:rsidP="003D36AF">
      <w:pPr>
        <w:pStyle w:val="FootnoteText"/>
        <w:jc w:val="both"/>
      </w:pPr>
      <w:r>
        <w:rPr>
          <w:rStyle w:val="FootnoteReference"/>
        </w:rPr>
        <w:footnoteRef/>
      </w:r>
      <w:r>
        <w:t xml:space="preserve"> </w:t>
      </w:r>
      <w:proofErr w:type="spellStart"/>
      <w:r>
        <w:t>Droge</w:t>
      </w:r>
      <w:proofErr w:type="spellEnd"/>
      <w:r>
        <w:t xml:space="preserve">, </w:t>
      </w:r>
      <w:r>
        <w:rPr>
          <w:i/>
          <w:iCs/>
        </w:rPr>
        <w:t>The Qur’</w:t>
      </w:r>
      <w:r>
        <w:rPr>
          <w:rFonts w:cs="Times New Roman"/>
          <w:i/>
          <w:iCs/>
        </w:rPr>
        <w:t>ā</w:t>
      </w:r>
      <w:r>
        <w:rPr>
          <w:i/>
          <w:iCs/>
        </w:rPr>
        <w:t>n</w:t>
      </w:r>
      <w:r>
        <w:t xml:space="preserve">, </w:t>
      </w:r>
      <w:r w:rsidR="00E7558A">
        <w:t xml:space="preserve">p. </w:t>
      </w:r>
      <w:r>
        <w:t xml:space="preserve">vii. </w:t>
      </w:r>
    </w:p>
  </w:footnote>
  <w:footnote w:id="45">
    <w:p w14:paraId="7EFDACB8" w14:textId="77777777" w:rsidR="002D498A" w:rsidRPr="0059174C" w:rsidRDefault="002D498A" w:rsidP="003D36AF">
      <w:pPr>
        <w:pStyle w:val="FootnoteText"/>
        <w:jc w:val="both"/>
      </w:pPr>
      <w:r>
        <w:rPr>
          <w:rStyle w:val="FootnoteReference"/>
        </w:rPr>
        <w:footnoteRef/>
      </w:r>
      <w:r>
        <w:t xml:space="preserve"> See, for example, </w:t>
      </w:r>
      <w:proofErr w:type="spellStart"/>
      <w:r>
        <w:t>Droge</w:t>
      </w:r>
      <w:proofErr w:type="spellEnd"/>
      <w:r>
        <w:t xml:space="preserve">, </w:t>
      </w:r>
      <w:r>
        <w:rPr>
          <w:i/>
          <w:iCs/>
        </w:rPr>
        <w:t>The Qur’</w:t>
      </w:r>
      <w:r>
        <w:rPr>
          <w:rFonts w:cs="Times New Roman"/>
          <w:i/>
          <w:iCs/>
        </w:rPr>
        <w:t>ā</w:t>
      </w:r>
      <w:r>
        <w:rPr>
          <w:i/>
          <w:iCs/>
        </w:rPr>
        <w:t>n</w:t>
      </w:r>
      <w:r>
        <w:t xml:space="preserve">, xvii fn. 38, where the term Qur’an itself is compared to the Syriac </w:t>
      </w:r>
      <w:proofErr w:type="spellStart"/>
      <w:r>
        <w:rPr>
          <w:i/>
          <w:iCs/>
        </w:rPr>
        <w:t>qeryana</w:t>
      </w:r>
      <w:proofErr w:type="spellEnd"/>
      <w:r>
        <w:t xml:space="preserve"> denoting scripture reading and recitation in Christian liturgical settings.</w:t>
      </w:r>
    </w:p>
  </w:footnote>
  <w:footnote w:id="46">
    <w:p w14:paraId="267DAE4B" w14:textId="77777777" w:rsidR="00E7558A" w:rsidRPr="006E3D8F" w:rsidRDefault="00E7558A" w:rsidP="00E7558A">
      <w:pPr>
        <w:pStyle w:val="FootnoteText"/>
        <w:jc w:val="both"/>
      </w:pPr>
      <w:r>
        <w:rPr>
          <w:rStyle w:val="FootnoteReference"/>
        </w:rPr>
        <w:footnoteRef/>
      </w:r>
      <w:r>
        <w:t xml:space="preserve"> </w:t>
      </w:r>
      <w:proofErr w:type="spellStart"/>
      <w:r>
        <w:t>Droge</w:t>
      </w:r>
      <w:proofErr w:type="spellEnd"/>
      <w:r>
        <w:t xml:space="preserve">, </w:t>
      </w:r>
      <w:r>
        <w:rPr>
          <w:i/>
          <w:iCs/>
        </w:rPr>
        <w:t>The Qur’</w:t>
      </w:r>
      <w:r>
        <w:rPr>
          <w:rFonts w:cs="Times New Roman"/>
          <w:i/>
          <w:iCs/>
        </w:rPr>
        <w:t>ā</w:t>
      </w:r>
      <w:r>
        <w:rPr>
          <w:i/>
          <w:iCs/>
        </w:rPr>
        <w:t>n</w:t>
      </w:r>
      <w:r>
        <w:t xml:space="preserve">, pp. xii–xii. </w:t>
      </w:r>
    </w:p>
  </w:footnote>
  <w:footnote w:id="47">
    <w:p w14:paraId="4DB8167C" w14:textId="77777777" w:rsidR="002D498A" w:rsidRDefault="002D498A" w:rsidP="003D36AF">
      <w:pPr>
        <w:pStyle w:val="FootnoteText"/>
        <w:jc w:val="both"/>
      </w:pPr>
      <w:r>
        <w:rPr>
          <w:rStyle w:val="FootnoteReference"/>
        </w:rPr>
        <w:footnoteRef/>
      </w:r>
      <w:r>
        <w:t xml:space="preserve"> Said’s impact is acknowledged by Ernst and Martin, “Introduction: Toward a Post-Orientalist Approach to Islamic Studies,” in </w:t>
      </w:r>
      <w:r>
        <w:rPr>
          <w:i/>
          <w:iCs/>
        </w:rPr>
        <w:t>Rethinking Islamic Studies</w:t>
      </w:r>
      <w:r>
        <w:t xml:space="preserve">. The editors of this book announce the advent of a “post-Orientalist” approach to Islamic studies, describing Orientalism as the “bête noire” in the expanding field of Islamic studies today (p. 4).  </w:t>
      </w:r>
    </w:p>
  </w:footnote>
  <w:footnote w:id="48">
    <w:p w14:paraId="2A436F83" w14:textId="77777777" w:rsidR="002D498A" w:rsidRDefault="002D498A" w:rsidP="003D36AF">
      <w:pPr>
        <w:pStyle w:val="FootnoteText"/>
        <w:jc w:val="both"/>
      </w:pPr>
      <w:r>
        <w:rPr>
          <w:rStyle w:val="FootnoteReference"/>
        </w:rPr>
        <w:footnoteRef/>
      </w:r>
      <w:r>
        <w:t xml:space="preserve"> </w:t>
      </w:r>
      <w:r w:rsidRPr="007E6DBB">
        <w:rPr>
          <w:i/>
          <w:iCs/>
        </w:rPr>
        <w:t>Orientalism</w:t>
      </w:r>
      <w:r>
        <w:t>, p. 39: “To say simply that Orientalism was a rationalization of colonial rule is to ignore the extent to which colonial rule was justified in advance by Orientalism, rather than after the fact.”</w:t>
      </w:r>
    </w:p>
  </w:footnote>
  <w:footnote w:id="49">
    <w:p w14:paraId="7819AD9B" w14:textId="732DDF01" w:rsidR="002D498A" w:rsidRPr="00B6648E" w:rsidRDefault="002D498A" w:rsidP="003D36AF">
      <w:pPr>
        <w:pStyle w:val="FootnoteText"/>
        <w:jc w:val="both"/>
      </w:pPr>
      <w:r>
        <w:rPr>
          <w:rStyle w:val="FootnoteReference"/>
        </w:rPr>
        <w:footnoteRef/>
      </w:r>
      <w:r>
        <w:t xml:space="preserve"> </w:t>
      </w:r>
      <w:r>
        <w:rPr>
          <w:i/>
          <w:iCs/>
        </w:rPr>
        <w:t xml:space="preserve">Orientalism, </w:t>
      </w:r>
      <w:r>
        <w:t>p</w:t>
      </w:r>
      <w:r w:rsidR="00295209">
        <w:t>p</w:t>
      </w:r>
      <w:r>
        <w:t xml:space="preserve">. 27–28. </w:t>
      </w:r>
    </w:p>
  </w:footnote>
  <w:footnote w:id="50">
    <w:p w14:paraId="0C261C48" w14:textId="41D10C92" w:rsidR="002D498A" w:rsidRPr="00FE538E" w:rsidRDefault="002D498A" w:rsidP="001541EC">
      <w:pPr>
        <w:pStyle w:val="FootnoteText"/>
        <w:jc w:val="both"/>
      </w:pPr>
      <w:r>
        <w:rPr>
          <w:rStyle w:val="FootnoteReference"/>
        </w:rPr>
        <w:footnoteRef/>
      </w:r>
      <w:r w:rsidRPr="00B6648E">
        <w:t xml:space="preserve"> </w:t>
      </w:r>
      <w:r>
        <w:t xml:space="preserve">On this matter, see Susannah Heschel, </w:t>
      </w:r>
      <w:r>
        <w:rPr>
          <w:i/>
          <w:iCs/>
        </w:rPr>
        <w:t xml:space="preserve">The Aryan </w:t>
      </w:r>
      <w:r w:rsidRPr="00F90D8C">
        <w:rPr>
          <w:i/>
          <w:iCs/>
        </w:rPr>
        <w:t>Jesus</w:t>
      </w:r>
      <w:r>
        <w:t xml:space="preserve">, </w:t>
      </w:r>
      <w:r w:rsidRPr="00F90D8C">
        <w:t>p</w:t>
      </w:r>
      <w:r w:rsidR="00295209">
        <w:t>p</w:t>
      </w:r>
      <w:r w:rsidR="001541EC">
        <w:t>. 33–37</w:t>
      </w:r>
      <w:r>
        <w:t xml:space="preserve">. </w:t>
      </w:r>
    </w:p>
  </w:footnote>
  <w:footnote w:id="51">
    <w:p w14:paraId="2D17AB22" w14:textId="77777777" w:rsidR="002D498A" w:rsidRPr="00FE172A" w:rsidRDefault="002D498A" w:rsidP="003D36AF">
      <w:pPr>
        <w:pStyle w:val="NoSpacing"/>
        <w:jc w:val="both"/>
        <w:rPr>
          <w:sz w:val="20"/>
          <w:szCs w:val="20"/>
        </w:rPr>
      </w:pPr>
      <w:r w:rsidRPr="00FE172A">
        <w:rPr>
          <w:rStyle w:val="FootnoteReference"/>
          <w:sz w:val="20"/>
          <w:szCs w:val="20"/>
        </w:rPr>
        <w:footnoteRef/>
      </w:r>
      <w:r w:rsidRPr="00FE172A">
        <w:rPr>
          <w:sz w:val="20"/>
          <w:szCs w:val="20"/>
        </w:rPr>
        <w:t xml:space="preserve"> </w:t>
      </w:r>
      <w:r w:rsidR="00F55E29">
        <w:rPr>
          <w:sz w:val="20"/>
          <w:szCs w:val="20"/>
        </w:rPr>
        <w:t>Perhaps Sanders</w:t>
      </w:r>
      <w:r w:rsidR="00C22D94">
        <w:rPr>
          <w:sz w:val="20"/>
          <w:szCs w:val="20"/>
        </w:rPr>
        <w:t>’</w:t>
      </w:r>
      <w:r w:rsidR="00F55E29">
        <w:rPr>
          <w:sz w:val="20"/>
          <w:szCs w:val="20"/>
        </w:rPr>
        <w:t xml:space="preserve"> most influential proposal </w:t>
      </w:r>
      <w:r w:rsidR="00C22D94">
        <w:rPr>
          <w:sz w:val="20"/>
          <w:szCs w:val="20"/>
        </w:rPr>
        <w:t xml:space="preserve">was that “covenantal </w:t>
      </w:r>
      <w:proofErr w:type="spellStart"/>
      <w:r w:rsidR="00C22D94">
        <w:rPr>
          <w:sz w:val="20"/>
          <w:szCs w:val="20"/>
        </w:rPr>
        <w:t>nomism</w:t>
      </w:r>
      <w:proofErr w:type="spellEnd"/>
      <w:r w:rsidR="00C22D94">
        <w:rPr>
          <w:sz w:val="20"/>
          <w:szCs w:val="20"/>
        </w:rPr>
        <w:t xml:space="preserve">” best summarizes </w:t>
      </w:r>
      <w:r w:rsidR="00F55E29">
        <w:rPr>
          <w:sz w:val="20"/>
          <w:szCs w:val="20"/>
        </w:rPr>
        <w:t xml:space="preserve">Second Temple </w:t>
      </w:r>
      <w:r w:rsidR="00C22D94">
        <w:rPr>
          <w:sz w:val="20"/>
          <w:szCs w:val="20"/>
        </w:rPr>
        <w:t xml:space="preserve">as well as </w:t>
      </w:r>
      <w:r w:rsidR="00F55E29">
        <w:rPr>
          <w:sz w:val="20"/>
          <w:szCs w:val="20"/>
        </w:rPr>
        <w:t xml:space="preserve">Rabbinic </w:t>
      </w:r>
      <w:r w:rsidR="00C22D94">
        <w:rPr>
          <w:sz w:val="20"/>
          <w:szCs w:val="20"/>
        </w:rPr>
        <w:t xml:space="preserve">religious belief. </w:t>
      </w:r>
      <w:r w:rsidRPr="00FE172A">
        <w:rPr>
          <w:sz w:val="20"/>
          <w:szCs w:val="20"/>
        </w:rPr>
        <w:t xml:space="preserve">Sanders, </w:t>
      </w:r>
      <w:r w:rsidRPr="00FE172A">
        <w:rPr>
          <w:i/>
          <w:iCs/>
          <w:sz w:val="20"/>
          <w:szCs w:val="20"/>
        </w:rPr>
        <w:t xml:space="preserve">Paul and Palestinian Judaism, </w:t>
      </w:r>
      <w:r w:rsidRPr="00FE172A">
        <w:rPr>
          <w:sz w:val="20"/>
          <w:szCs w:val="20"/>
        </w:rPr>
        <w:t xml:space="preserve">p. 75: “There does appear to be in Rabbinic Judaism a coherent and all-pervasive view of what constitutes the essence of Jewish religion and of how that religion ‘works’, and we shall occasionally, for the sake of convenience, call this view ‘soteriology’. The all-pervasive view can be summarized in the phrase ‘covenantal </w:t>
      </w:r>
      <w:proofErr w:type="spellStart"/>
      <w:r w:rsidRPr="00FE172A">
        <w:rPr>
          <w:sz w:val="20"/>
          <w:szCs w:val="20"/>
        </w:rPr>
        <w:t>nomism</w:t>
      </w:r>
      <w:proofErr w:type="spellEnd"/>
      <w:r w:rsidRPr="00FE172A">
        <w:rPr>
          <w:sz w:val="20"/>
          <w:szCs w:val="20"/>
        </w:rPr>
        <w:t xml:space="preserve">’. Briefly put, covenantal </w:t>
      </w:r>
      <w:proofErr w:type="spellStart"/>
      <w:r w:rsidRPr="00FE172A">
        <w:rPr>
          <w:sz w:val="20"/>
          <w:szCs w:val="20"/>
        </w:rPr>
        <w:t>nomism</w:t>
      </w:r>
      <w:proofErr w:type="spellEnd"/>
      <w:r w:rsidRPr="00FE172A">
        <w:rPr>
          <w:sz w:val="20"/>
          <w:szCs w:val="20"/>
        </w:rPr>
        <w:t xml:space="preserve"> is the view that one’s place in God’s plan is established on the basis of the covenant and that the covenant requires as the proper response of man his obedience to its commandments, while providing means of atonement for transgression.” </w:t>
      </w:r>
    </w:p>
  </w:footnote>
  <w:footnote w:id="52">
    <w:p w14:paraId="000CFAF1" w14:textId="77777777" w:rsidR="00FE172A" w:rsidRPr="00110886" w:rsidRDefault="00FE172A" w:rsidP="003D36AF">
      <w:pPr>
        <w:pStyle w:val="FootnoteText"/>
        <w:jc w:val="both"/>
      </w:pPr>
      <w:r>
        <w:rPr>
          <w:rStyle w:val="FootnoteReference"/>
        </w:rPr>
        <w:footnoteRef/>
      </w:r>
      <w:r>
        <w:t xml:space="preserve"> Does the refusal to adopt historical criticism mean that other critical approaches to the Qur</w:t>
      </w:r>
      <w:r w:rsidR="00110886">
        <w:t>’</w:t>
      </w:r>
      <w:r>
        <w:t xml:space="preserve">an are </w:t>
      </w:r>
      <w:r w:rsidR="00C22D94">
        <w:t>resisted as well</w:t>
      </w:r>
      <w:r>
        <w:t xml:space="preserve">? Until very recently, </w:t>
      </w:r>
      <w:r w:rsidR="002A1BA1">
        <w:t xml:space="preserve">Muslim </w:t>
      </w:r>
      <w:r>
        <w:t>feminist critics of the Qur</w:t>
      </w:r>
      <w:r w:rsidR="00110886">
        <w:t>’</w:t>
      </w:r>
      <w:r>
        <w:t xml:space="preserve">an </w:t>
      </w:r>
      <w:r w:rsidR="00C22D94">
        <w:t xml:space="preserve">have not entertained </w:t>
      </w:r>
      <w:r w:rsidR="00AF06C8">
        <w:t xml:space="preserve">the </w:t>
      </w:r>
      <w:r w:rsidR="00C02296">
        <w:t xml:space="preserve">hypothesis </w:t>
      </w:r>
      <w:r w:rsidR="00AF06C8">
        <w:t xml:space="preserve">that </w:t>
      </w:r>
      <w:r w:rsidR="002A1BA1">
        <w:t>the Qur</w:t>
      </w:r>
      <w:r w:rsidR="00110886">
        <w:t>’</w:t>
      </w:r>
      <w:r w:rsidR="002A1BA1">
        <w:t>an</w:t>
      </w:r>
      <w:r w:rsidR="00C22D94">
        <w:t xml:space="preserve">, like the Bible, </w:t>
      </w:r>
      <w:r w:rsidR="00AF06C8">
        <w:t xml:space="preserve">has contributed to the subordination of women, pointing their fingers instead at androcentric </w:t>
      </w:r>
      <w:r w:rsidR="002A1BA1" w:rsidRPr="002A1BA1">
        <w:rPr>
          <w:i/>
          <w:iCs/>
        </w:rPr>
        <w:t>interpretations</w:t>
      </w:r>
      <w:r w:rsidR="002A1BA1">
        <w:t xml:space="preserve"> </w:t>
      </w:r>
      <w:r w:rsidR="00AF06C8">
        <w:t xml:space="preserve">they claim cannot be substantiated by the </w:t>
      </w:r>
      <w:r w:rsidR="002A1BA1">
        <w:t>Qur</w:t>
      </w:r>
      <w:r w:rsidR="00AF06C8">
        <w:t>a</w:t>
      </w:r>
      <w:r w:rsidR="002A1BA1">
        <w:t>n</w:t>
      </w:r>
      <w:r w:rsidR="00AF06C8">
        <w:t>ic text</w:t>
      </w:r>
      <w:r w:rsidR="002A1BA1">
        <w:t xml:space="preserve">. </w:t>
      </w:r>
      <w:r w:rsidR="00AF06C8">
        <w:t xml:space="preserve">Those familiar with the history of feminist criticism in </w:t>
      </w:r>
      <w:r w:rsidR="00E16A35">
        <w:t xml:space="preserve">the context of </w:t>
      </w:r>
      <w:r w:rsidR="00AF06C8">
        <w:t xml:space="preserve">biblical </w:t>
      </w:r>
      <w:r w:rsidR="00E16A35">
        <w:t>studies</w:t>
      </w:r>
      <w:r w:rsidR="00C02296">
        <w:t xml:space="preserve"> will quickly note the problem here.</w:t>
      </w:r>
      <w:r w:rsidR="00E16A35">
        <w:t xml:space="preserve"> </w:t>
      </w:r>
      <w:r w:rsidR="002A1BA1">
        <w:t xml:space="preserve">Jewish and Christian feminist critics of the Bible, who tend to be more at home with historical critical approaches, </w:t>
      </w:r>
      <w:r w:rsidR="00110886">
        <w:t>often point</w:t>
      </w:r>
      <w:r w:rsidR="002A1BA1">
        <w:t xml:space="preserve"> out the patriarchal bias </w:t>
      </w:r>
      <w:r w:rsidR="00C02296">
        <w:t xml:space="preserve">or androcentric declarations </w:t>
      </w:r>
      <w:r w:rsidR="002A1BA1">
        <w:t xml:space="preserve">embedded </w:t>
      </w:r>
      <w:r w:rsidR="00C02296">
        <w:t>with</w:t>
      </w:r>
      <w:r w:rsidR="002A1BA1">
        <w:t xml:space="preserve">in the biblical text itself. On </w:t>
      </w:r>
      <w:r w:rsidR="00C02296">
        <w:t xml:space="preserve">this issue as it relates to </w:t>
      </w:r>
      <w:r w:rsidR="00110886">
        <w:t xml:space="preserve">feminist criticism and the Qur’an, </w:t>
      </w:r>
      <w:r w:rsidR="002A1BA1">
        <w:t xml:space="preserve">see </w:t>
      </w:r>
      <w:r w:rsidR="00F55E29">
        <w:t xml:space="preserve">the honest assessment by </w:t>
      </w:r>
      <w:proofErr w:type="spellStart"/>
      <w:r w:rsidR="00110886">
        <w:t>Hidayatullah</w:t>
      </w:r>
      <w:proofErr w:type="spellEnd"/>
      <w:r w:rsidR="00110886">
        <w:t xml:space="preserve">, </w:t>
      </w:r>
      <w:r w:rsidR="00110886">
        <w:rPr>
          <w:i/>
          <w:iCs/>
        </w:rPr>
        <w:t>Feminist Edges</w:t>
      </w:r>
      <w:r w:rsidR="00110886">
        <w:t>.</w:t>
      </w:r>
    </w:p>
  </w:footnote>
  <w:footnote w:id="53">
    <w:p w14:paraId="0D039CE3" w14:textId="77777777" w:rsidR="002D498A" w:rsidRPr="00FE172A" w:rsidRDefault="002D498A" w:rsidP="003D36AF">
      <w:pPr>
        <w:pStyle w:val="NoSpacing"/>
        <w:jc w:val="both"/>
        <w:rPr>
          <w:sz w:val="20"/>
          <w:szCs w:val="20"/>
        </w:rPr>
      </w:pPr>
      <w:r w:rsidRPr="00FE172A">
        <w:rPr>
          <w:rStyle w:val="FootnoteReference"/>
          <w:sz w:val="20"/>
          <w:szCs w:val="20"/>
        </w:rPr>
        <w:footnoteRef/>
      </w:r>
      <w:r w:rsidRPr="00FE172A">
        <w:rPr>
          <w:sz w:val="20"/>
          <w:szCs w:val="20"/>
        </w:rPr>
        <w:t xml:space="preserve"> Levine and Brettler, eds., </w:t>
      </w:r>
      <w:r w:rsidRPr="00FE172A">
        <w:rPr>
          <w:i/>
          <w:iCs/>
          <w:sz w:val="20"/>
          <w:szCs w:val="20"/>
        </w:rPr>
        <w:t>Jewish Annotated New Testament.</w:t>
      </w:r>
    </w:p>
  </w:footnote>
  <w:footnote w:id="54">
    <w:p w14:paraId="5EA65FD2" w14:textId="77777777" w:rsidR="002D498A" w:rsidRDefault="002D498A" w:rsidP="003D36AF">
      <w:pPr>
        <w:pStyle w:val="FootnoteText"/>
        <w:jc w:val="both"/>
      </w:pPr>
      <w:r>
        <w:rPr>
          <w:rStyle w:val="FootnoteReference"/>
        </w:rPr>
        <w:footnoteRef/>
      </w:r>
      <w:r>
        <w:t xml:space="preserve"> </w:t>
      </w:r>
      <w:proofErr w:type="spellStart"/>
      <w:r w:rsidRPr="00EC314E">
        <w:t>Schoeps</w:t>
      </w:r>
      <w:proofErr w:type="spellEnd"/>
      <w:r w:rsidRPr="00EC314E">
        <w:t xml:space="preserve">, </w:t>
      </w:r>
      <w:r w:rsidRPr="00EC314E">
        <w:rPr>
          <w:i/>
          <w:iCs/>
        </w:rPr>
        <w:t>Jewish Christianity</w:t>
      </w:r>
      <w:r>
        <w:t>; Cf. Gager, “Did Jewish Christians See the Rise of Islam?”</w:t>
      </w:r>
    </w:p>
  </w:footnote>
  <w:footnote w:id="55">
    <w:p w14:paraId="72FE126C" w14:textId="052DEF42" w:rsidR="007E6DBB" w:rsidRPr="00D02CC7" w:rsidRDefault="007E6DBB" w:rsidP="00295209">
      <w:pPr>
        <w:pStyle w:val="FootnoteText"/>
        <w:jc w:val="both"/>
      </w:pPr>
      <w:r>
        <w:rPr>
          <w:rStyle w:val="FootnoteReference"/>
        </w:rPr>
        <w:footnoteRef/>
      </w:r>
      <w:r>
        <w:t xml:space="preserve"> As implied by the title of Geiger’s dissertation, “</w:t>
      </w:r>
      <w:r w:rsidRPr="00D02CC7">
        <w:t xml:space="preserve">Was hat Mohammed </w:t>
      </w:r>
      <w:proofErr w:type="spellStart"/>
      <w:r w:rsidRPr="00D02CC7">
        <w:t>aus</w:t>
      </w:r>
      <w:proofErr w:type="spellEnd"/>
      <w:r w:rsidRPr="00D02CC7">
        <w:t xml:space="preserve"> dem </w:t>
      </w:r>
      <w:proofErr w:type="spellStart"/>
      <w:r w:rsidRPr="00D02CC7">
        <w:t>Judentum</w:t>
      </w:r>
      <w:proofErr w:type="spellEnd"/>
      <w:r w:rsidRPr="00D02CC7">
        <w:t xml:space="preserve"> </w:t>
      </w:r>
      <w:proofErr w:type="spellStart"/>
      <w:r w:rsidRPr="00D02CC7">
        <w:t>aufgenommen</w:t>
      </w:r>
      <w:proofErr w:type="spellEnd"/>
      <w:r w:rsidRPr="00D02CC7">
        <w:t>?</w:t>
      </w:r>
      <w:r>
        <w:t>”</w:t>
      </w:r>
    </w:p>
  </w:footnote>
  <w:footnote w:id="56">
    <w:p w14:paraId="14FC1286" w14:textId="51AE1A02" w:rsidR="002D498A" w:rsidRDefault="002D498A" w:rsidP="003D36AF">
      <w:pPr>
        <w:pStyle w:val="FootnoteText"/>
        <w:jc w:val="both"/>
      </w:pPr>
      <w:r>
        <w:rPr>
          <w:rStyle w:val="FootnoteReference"/>
        </w:rPr>
        <w:footnoteRef/>
      </w:r>
      <w:r>
        <w:t xml:space="preserve"> Nevertheless, religious studies and theological reflection, as intellectual endeavors, must retain their respective autonomies if they are to preserve their integrity and distinctive voices. Confusion arises when theological statements and empirical observations are mingled without making firm distinctions, when faith is confused with fact, revelation with reason. Furthermore, historical inquiry as an academic discipline, in principle, must not be </w:t>
      </w:r>
      <w:r w:rsidR="004C627A">
        <w:t xml:space="preserve">in </w:t>
      </w:r>
      <w:r>
        <w:t xml:space="preserve">the service of ecumenism. On the other hand, I do not wish to insinuate that a scholar of religious studies cannot belong to a particular confession or engage in theological, ecumenical, and pastoral endeavors. Some of the best biblical critics belong(ed) to a particular religious affiliation, Jewish, Protestant, or Roman Catholic: Raymond Brown, Joseph Fitzmyer, John P. Meier, and Jacob Milgrom, just to name a few. For a discussion by scholars of religious affiliation who also engage with scripture critically, see </w:t>
      </w:r>
      <w:r w:rsidRPr="00832201">
        <w:rPr>
          <w:rStyle w:val="Strong"/>
          <w:b w:val="0"/>
          <w:bCs w:val="0"/>
        </w:rPr>
        <w:t xml:space="preserve">Brettler, Enns, </w:t>
      </w:r>
      <w:r>
        <w:rPr>
          <w:rStyle w:val="Strong"/>
          <w:b w:val="0"/>
          <w:bCs w:val="0"/>
        </w:rPr>
        <w:t xml:space="preserve">and </w:t>
      </w:r>
      <w:r w:rsidRPr="00832201">
        <w:rPr>
          <w:rStyle w:val="Strong"/>
          <w:b w:val="0"/>
          <w:bCs w:val="0"/>
        </w:rPr>
        <w:t>Harrington,</w:t>
      </w:r>
      <w:r w:rsidRPr="00832201">
        <w:t xml:space="preserve"> </w:t>
      </w:r>
      <w:r>
        <w:rPr>
          <w:rStyle w:val="Emphasis"/>
        </w:rPr>
        <w:t>The Bible and the Believer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98"/>
    <w:rsid w:val="00002A05"/>
    <w:rsid w:val="00005BB1"/>
    <w:rsid w:val="00007C60"/>
    <w:rsid w:val="000115E5"/>
    <w:rsid w:val="00012D48"/>
    <w:rsid w:val="000130C2"/>
    <w:rsid w:val="000147A5"/>
    <w:rsid w:val="000153C7"/>
    <w:rsid w:val="00016493"/>
    <w:rsid w:val="00016642"/>
    <w:rsid w:val="000221C9"/>
    <w:rsid w:val="000224C6"/>
    <w:rsid w:val="000232CF"/>
    <w:rsid w:val="00023E4D"/>
    <w:rsid w:val="00033F48"/>
    <w:rsid w:val="00034FDF"/>
    <w:rsid w:val="000359BB"/>
    <w:rsid w:val="00037522"/>
    <w:rsid w:val="00037C43"/>
    <w:rsid w:val="000426C2"/>
    <w:rsid w:val="0004270A"/>
    <w:rsid w:val="00042DD8"/>
    <w:rsid w:val="000526B1"/>
    <w:rsid w:val="00056529"/>
    <w:rsid w:val="0005767A"/>
    <w:rsid w:val="00060366"/>
    <w:rsid w:val="00060D90"/>
    <w:rsid w:val="00061DB8"/>
    <w:rsid w:val="00062327"/>
    <w:rsid w:val="00066E32"/>
    <w:rsid w:val="000678F5"/>
    <w:rsid w:val="00067F72"/>
    <w:rsid w:val="00070132"/>
    <w:rsid w:val="00071100"/>
    <w:rsid w:val="00071D7C"/>
    <w:rsid w:val="00072840"/>
    <w:rsid w:val="000742CF"/>
    <w:rsid w:val="00083809"/>
    <w:rsid w:val="00084E69"/>
    <w:rsid w:val="0009152F"/>
    <w:rsid w:val="00091A31"/>
    <w:rsid w:val="00091B16"/>
    <w:rsid w:val="00093669"/>
    <w:rsid w:val="00093A01"/>
    <w:rsid w:val="000A3179"/>
    <w:rsid w:val="000A4220"/>
    <w:rsid w:val="000A6D2A"/>
    <w:rsid w:val="000B0C8C"/>
    <w:rsid w:val="000B18E7"/>
    <w:rsid w:val="000B26D2"/>
    <w:rsid w:val="000B465D"/>
    <w:rsid w:val="000B640A"/>
    <w:rsid w:val="000B6B2C"/>
    <w:rsid w:val="000C02AC"/>
    <w:rsid w:val="000C49DC"/>
    <w:rsid w:val="000C573B"/>
    <w:rsid w:val="000C6375"/>
    <w:rsid w:val="000D46B0"/>
    <w:rsid w:val="000D58CD"/>
    <w:rsid w:val="000D5E4E"/>
    <w:rsid w:val="000D6DE5"/>
    <w:rsid w:val="000D749D"/>
    <w:rsid w:val="000E02E6"/>
    <w:rsid w:val="000E0449"/>
    <w:rsid w:val="000E26D7"/>
    <w:rsid w:val="000E4041"/>
    <w:rsid w:val="000F43F6"/>
    <w:rsid w:val="000F5B0D"/>
    <w:rsid w:val="00101639"/>
    <w:rsid w:val="0010178B"/>
    <w:rsid w:val="00102C79"/>
    <w:rsid w:val="001076EF"/>
    <w:rsid w:val="00110886"/>
    <w:rsid w:val="00112A1E"/>
    <w:rsid w:val="00114DE5"/>
    <w:rsid w:val="00120CA2"/>
    <w:rsid w:val="00124ACE"/>
    <w:rsid w:val="001274A0"/>
    <w:rsid w:val="001301B1"/>
    <w:rsid w:val="001309E2"/>
    <w:rsid w:val="0013163B"/>
    <w:rsid w:val="00132CBF"/>
    <w:rsid w:val="0013304C"/>
    <w:rsid w:val="0013327C"/>
    <w:rsid w:val="00136ECC"/>
    <w:rsid w:val="0014087D"/>
    <w:rsid w:val="00142733"/>
    <w:rsid w:val="00143A82"/>
    <w:rsid w:val="00145023"/>
    <w:rsid w:val="0014706E"/>
    <w:rsid w:val="001541EC"/>
    <w:rsid w:val="00163734"/>
    <w:rsid w:val="0016401F"/>
    <w:rsid w:val="001642EB"/>
    <w:rsid w:val="001657A4"/>
    <w:rsid w:val="001659CC"/>
    <w:rsid w:val="00170FA5"/>
    <w:rsid w:val="00172C6A"/>
    <w:rsid w:val="00182C5E"/>
    <w:rsid w:val="001906E7"/>
    <w:rsid w:val="001917E2"/>
    <w:rsid w:val="001A1622"/>
    <w:rsid w:val="001A2D66"/>
    <w:rsid w:val="001B31DC"/>
    <w:rsid w:val="001B500F"/>
    <w:rsid w:val="001B70AB"/>
    <w:rsid w:val="001C06F7"/>
    <w:rsid w:val="001D46BD"/>
    <w:rsid w:val="001D4D07"/>
    <w:rsid w:val="001E0039"/>
    <w:rsid w:val="001E05E2"/>
    <w:rsid w:val="001E34B0"/>
    <w:rsid w:val="001E7C2E"/>
    <w:rsid w:val="001E7EA2"/>
    <w:rsid w:val="001F0D6E"/>
    <w:rsid w:val="001F409A"/>
    <w:rsid w:val="001F416F"/>
    <w:rsid w:val="001F6BF5"/>
    <w:rsid w:val="001F6FB1"/>
    <w:rsid w:val="001F7862"/>
    <w:rsid w:val="00201E55"/>
    <w:rsid w:val="00204286"/>
    <w:rsid w:val="00205EFA"/>
    <w:rsid w:val="00206ED5"/>
    <w:rsid w:val="0020737A"/>
    <w:rsid w:val="002133FE"/>
    <w:rsid w:val="0021691D"/>
    <w:rsid w:val="00220A13"/>
    <w:rsid w:val="0022118E"/>
    <w:rsid w:val="00221E67"/>
    <w:rsid w:val="002259DF"/>
    <w:rsid w:val="00225FF5"/>
    <w:rsid w:val="002260E3"/>
    <w:rsid w:val="00226EE8"/>
    <w:rsid w:val="00227F9C"/>
    <w:rsid w:val="00233E8E"/>
    <w:rsid w:val="00236183"/>
    <w:rsid w:val="00236B3E"/>
    <w:rsid w:val="00237323"/>
    <w:rsid w:val="002402DE"/>
    <w:rsid w:val="00242861"/>
    <w:rsid w:val="0025077A"/>
    <w:rsid w:val="00252052"/>
    <w:rsid w:val="002530BD"/>
    <w:rsid w:val="0025791C"/>
    <w:rsid w:val="0026232D"/>
    <w:rsid w:val="002634B4"/>
    <w:rsid w:val="00263EFF"/>
    <w:rsid w:val="00264694"/>
    <w:rsid w:val="00264B7C"/>
    <w:rsid w:val="00265822"/>
    <w:rsid w:val="002678C6"/>
    <w:rsid w:val="00270F04"/>
    <w:rsid w:val="002718D6"/>
    <w:rsid w:val="00271C9C"/>
    <w:rsid w:val="00271E33"/>
    <w:rsid w:val="0027704C"/>
    <w:rsid w:val="0028303E"/>
    <w:rsid w:val="00283D69"/>
    <w:rsid w:val="00284AD9"/>
    <w:rsid w:val="002851EF"/>
    <w:rsid w:val="00285749"/>
    <w:rsid w:val="002879ED"/>
    <w:rsid w:val="00291213"/>
    <w:rsid w:val="00293C13"/>
    <w:rsid w:val="0029417A"/>
    <w:rsid w:val="00294CA3"/>
    <w:rsid w:val="00294FEC"/>
    <w:rsid w:val="00295209"/>
    <w:rsid w:val="00296D81"/>
    <w:rsid w:val="002A1BA1"/>
    <w:rsid w:val="002A34BC"/>
    <w:rsid w:val="002A74A9"/>
    <w:rsid w:val="002A7D52"/>
    <w:rsid w:val="002B1AC3"/>
    <w:rsid w:val="002B2CCD"/>
    <w:rsid w:val="002B4129"/>
    <w:rsid w:val="002B5DD4"/>
    <w:rsid w:val="002B61CF"/>
    <w:rsid w:val="002B6BF6"/>
    <w:rsid w:val="002B746D"/>
    <w:rsid w:val="002B74FC"/>
    <w:rsid w:val="002D245F"/>
    <w:rsid w:val="002D408C"/>
    <w:rsid w:val="002D498A"/>
    <w:rsid w:val="002E3E79"/>
    <w:rsid w:val="002E658C"/>
    <w:rsid w:val="002E7ECD"/>
    <w:rsid w:val="002F3105"/>
    <w:rsid w:val="002F4E28"/>
    <w:rsid w:val="002F7725"/>
    <w:rsid w:val="002F7F99"/>
    <w:rsid w:val="003030A6"/>
    <w:rsid w:val="00306B4A"/>
    <w:rsid w:val="00307B74"/>
    <w:rsid w:val="003103A2"/>
    <w:rsid w:val="003129D4"/>
    <w:rsid w:val="00313C7C"/>
    <w:rsid w:val="0031467B"/>
    <w:rsid w:val="00316D51"/>
    <w:rsid w:val="00317245"/>
    <w:rsid w:val="00320F9A"/>
    <w:rsid w:val="003217B2"/>
    <w:rsid w:val="00321A36"/>
    <w:rsid w:val="00322A20"/>
    <w:rsid w:val="003252DD"/>
    <w:rsid w:val="00325D69"/>
    <w:rsid w:val="00327A18"/>
    <w:rsid w:val="00332FA1"/>
    <w:rsid w:val="003331B2"/>
    <w:rsid w:val="0034032A"/>
    <w:rsid w:val="003441E8"/>
    <w:rsid w:val="00344BA3"/>
    <w:rsid w:val="00346EB1"/>
    <w:rsid w:val="003473CE"/>
    <w:rsid w:val="0034743F"/>
    <w:rsid w:val="003476CB"/>
    <w:rsid w:val="00350A26"/>
    <w:rsid w:val="003529FA"/>
    <w:rsid w:val="003609B7"/>
    <w:rsid w:val="003615D6"/>
    <w:rsid w:val="00361EC0"/>
    <w:rsid w:val="00365E00"/>
    <w:rsid w:val="003703C4"/>
    <w:rsid w:val="003709AF"/>
    <w:rsid w:val="00371AEE"/>
    <w:rsid w:val="00376CF8"/>
    <w:rsid w:val="00381F2B"/>
    <w:rsid w:val="003835F7"/>
    <w:rsid w:val="0038494D"/>
    <w:rsid w:val="003858A9"/>
    <w:rsid w:val="00391577"/>
    <w:rsid w:val="00394269"/>
    <w:rsid w:val="00397791"/>
    <w:rsid w:val="003A027A"/>
    <w:rsid w:val="003A0F1D"/>
    <w:rsid w:val="003A454D"/>
    <w:rsid w:val="003A4CE1"/>
    <w:rsid w:val="003A62E8"/>
    <w:rsid w:val="003B0D77"/>
    <w:rsid w:val="003B4F46"/>
    <w:rsid w:val="003C0436"/>
    <w:rsid w:val="003C4EAD"/>
    <w:rsid w:val="003C6447"/>
    <w:rsid w:val="003C7C62"/>
    <w:rsid w:val="003D087A"/>
    <w:rsid w:val="003D1562"/>
    <w:rsid w:val="003D36AF"/>
    <w:rsid w:val="003D78BA"/>
    <w:rsid w:val="003E2093"/>
    <w:rsid w:val="003F03A1"/>
    <w:rsid w:val="003F2714"/>
    <w:rsid w:val="003F516F"/>
    <w:rsid w:val="003F7F69"/>
    <w:rsid w:val="004033CF"/>
    <w:rsid w:val="0040563D"/>
    <w:rsid w:val="004102E9"/>
    <w:rsid w:val="004151DB"/>
    <w:rsid w:val="004162D7"/>
    <w:rsid w:val="004168C6"/>
    <w:rsid w:val="004207DB"/>
    <w:rsid w:val="004249B7"/>
    <w:rsid w:val="00424DC9"/>
    <w:rsid w:val="0042525B"/>
    <w:rsid w:val="0043222B"/>
    <w:rsid w:val="00440494"/>
    <w:rsid w:val="0044162F"/>
    <w:rsid w:val="00441947"/>
    <w:rsid w:val="00450229"/>
    <w:rsid w:val="00460FC5"/>
    <w:rsid w:val="004629D6"/>
    <w:rsid w:val="00470928"/>
    <w:rsid w:val="0047238E"/>
    <w:rsid w:val="00473D1D"/>
    <w:rsid w:val="0047439A"/>
    <w:rsid w:val="004749DA"/>
    <w:rsid w:val="00474E2B"/>
    <w:rsid w:val="0047532D"/>
    <w:rsid w:val="00481BC8"/>
    <w:rsid w:val="004820D3"/>
    <w:rsid w:val="004821E3"/>
    <w:rsid w:val="00487B06"/>
    <w:rsid w:val="00490D7C"/>
    <w:rsid w:val="004953E2"/>
    <w:rsid w:val="0049594E"/>
    <w:rsid w:val="00496BA5"/>
    <w:rsid w:val="004A0C70"/>
    <w:rsid w:val="004A3138"/>
    <w:rsid w:val="004A3F89"/>
    <w:rsid w:val="004A4415"/>
    <w:rsid w:val="004A7ACD"/>
    <w:rsid w:val="004B06B6"/>
    <w:rsid w:val="004B137A"/>
    <w:rsid w:val="004B32C4"/>
    <w:rsid w:val="004B5707"/>
    <w:rsid w:val="004C5FC3"/>
    <w:rsid w:val="004C627A"/>
    <w:rsid w:val="004C643E"/>
    <w:rsid w:val="004C74DE"/>
    <w:rsid w:val="004D1A76"/>
    <w:rsid w:val="004D4FD1"/>
    <w:rsid w:val="004D6C86"/>
    <w:rsid w:val="004D7437"/>
    <w:rsid w:val="004D752F"/>
    <w:rsid w:val="004E37A4"/>
    <w:rsid w:val="004E56D1"/>
    <w:rsid w:val="004F4D9F"/>
    <w:rsid w:val="004F6CC0"/>
    <w:rsid w:val="004F758B"/>
    <w:rsid w:val="0050206D"/>
    <w:rsid w:val="005039C3"/>
    <w:rsid w:val="00504FBB"/>
    <w:rsid w:val="0050563A"/>
    <w:rsid w:val="00505D1E"/>
    <w:rsid w:val="0051204A"/>
    <w:rsid w:val="00513184"/>
    <w:rsid w:val="00516330"/>
    <w:rsid w:val="00520738"/>
    <w:rsid w:val="00522861"/>
    <w:rsid w:val="00524AD8"/>
    <w:rsid w:val="00526902"/>
    <w:rsid w:val="00526E22"/>
    <w:rsid w:val="00526E87"/>
    <w:rsid w:val="00535F56"/>
    <w:rsid w:val="00537B99"/>
    <w:rsid w:val="005402C7"/>
    <w:rsid w:val="00541756"/>
    <w:rsid w:val="005439C0"/>
    <w:rsid w:val="0054456E"/>
    <w:rsid w:val="00544C6E"/>
    <w:rsid w:val="0055029A"/>
    <w:rsid w:val="0055052C"/>
    <w:rsid w:val="00550CC1"/>
    <w:rsid w:val="00555A53"/>
    <w:rsid w:val="0055722D"/>
    <w:rsid w:val="00566353"/>
    <w:rsid w:val="005672EE"/>
    <w:rsid w:val="00570350"/>
    <w:rsid w:val="005752DC"/>
    <w:rsid w:val="00580673"/>
    <w:rsid w:val="00580CC6"/>
    <w:rsid w:val="005816F2"/>
    <w:rsid w:val="005830DA"/>
    <w:rsid w:val="00585610"/>
    <w:rsid w:val="00586490"/>
    <w:rsid w:val="0058663B"/>
    <w:rsid w:val="00587B46"/>
    <w:rsid w:val="0059174C"/>
    <w:rsid w:val="00591BF0"/>
    <w:rsid w:val="005926CD"/>
    <w:rsid w:val="00594BEF"/>
    <w:rsid w:val="00594F9C"/>
    <w:rsid w:val="005A0D4F"/>
    <w:rsid w:val="005A2BA6"/>
    <w:rsid w:val="005A2D7F"/>
    <w:rsid w:val="005A2EFB"/>
    <w:rsid w:val="005A5347"/>
    <w:rsid w:val="005A5953"/>
    <w:rsid w:val="005A61F7"/>
    <w:rsid w:val="005A63BC"/>
    <w:rsid w:val="005A69B0"/>
    <w:rsid w:val="005B0260"/>
    <w:rsid w:val="005B2E54"/>
    <w:rsid w:val="005C06D5"/>
    <w:rsid w:val="005C21FC"/>
    <w:rsid w:val="005C45C0"/>
    <w:rsid w:val="005C4600"/>
    <w:rsid w:val="005D000B"/>
    <w:rsid w:val="005D06B3"/>
    <w:rsid w:val="005D11A7"/>
    <w:rsid w:val="005D6052"/>
    <w:rsid w:val="005D6A10"/>
    <w:rsid w:val="005D6AC2"/>
    <w:rsid w:val="005E0A2F"/>
    <w:rsid w:val="005E1FAB"/>
    <w:rsid w:val="005E7E81"/>
    <w:rsid w:val="005F099A"/>
    <w:rsid w:val="005F1EAE"/>
    <w:rsid w:val="005F2857"/>
    <w:rsid w:val="005F58AA"/>
    <w:rsid w:val="005F63D8"/>
    <w:rsid w:val="005F65BC"/>
    <w:rsid w:val="005F6B44"/>
    <w:rsid w:val="0060322E"/>
    <w:rsid w:val="00604CB4"/>
    <w:rsid w:val="0060574E"/>
    <w:rsid w:val="00611ADE"/>
    <w:rsid w:val="0061491B"/>
    <w:rsid w:val="00616958"/>
    <w:rsid w:val="0062285C"/>
    <w:rsid w:val="00625289"/>
    <w:rsid w:val="0062631D"/>
    <w:rsid w:val="00627428"/>
    <w:rsid w:val="006276DE"/>
    <w:rsid w:val="00634665"/>
    <w:rsid w:val="00635C44"/>
    <w:rsid w:val="00636C4A"/>
    <w:rsid w:val="00640CCF"/>
    <w:rsid w:val="00641588"/>
    <w:rsid w:val="00642829"/>
    <w:rsid w:val="00643C60"/>
    <w:rsid w:val="00650B83"/>
    <w:rsid w:val="006575C9"/>
    <w:rsid w:val="00666D24"/>
    <w:rsid w:val="00667ED6"/>
    <w:rsid w:val="00672EE0"/>
    <w:rsid w:val="00673B00"/>
    <w:rsid w:val="006769C3"/>
    <w:rsid w:val="00677DAD"/>
    <w:rsid w:val="0068045C"/>
    <w:rsid w:val="00680809"/>
    <w:rsid w:val="006817E5"/>
    <w:rsid w:val="00683780"/>
    <w:rsid w:val="00683E4F"/>
    <w:rsid w:val="00686041"/>
    <w:rsid w:val="006901B5"/>
    <w:rsid w:val="00690605"/>
    <w:rsid w:val="00690FB5"/>
    <w:rsid w:val="006913B8"/>
    <w:rsid w:val="00692750"/>
    <w:rsid w:val="006932A6"/>
    <w:rsid w:val="00693563"/>
    <w:rsid w:val="00694E3E"/>
    <w:rsid w:val="00696789"/>
    <w:rsid w:val="006A605D"/>
    <w:rsid w:val="006A73FD"/>
    <w:rsid w:val="006B310E"/>
    <w:rsid w:val="006B4065"/>
    <w:rsid w:val="006B497C"/>
    <w:rsid w:val="006C02AC"/>
    <w:rsid w:val="006C4ABA"/>
    <w:rsid w:val="006D1529"/>
    <w:rsid w:val="006D36D9"/>
    <w:rsid w:val="006D5052"/>
    <w:rsid w:val="006E2544"/>
    <w:rsid w:val="006E3D8F"/>
    <w:rsid w:val="006E70D5"/>
    <w:rsid w:val="006F20A4"/>
    <w:rsid w:val="006F5798"/>
    <w:rsid w:val="006F739D"/>
    <w:rsid w:val="006F7E59"/>
    <w:rsid w:val="00712A2C"/>
    <w:rsid w:val="00712F42"/>
    <w:rsid w:val="00714F71"/>
    <w:rsid w:val="00716BC1"/>
    <w:rsid w:val="00716E73"/>
    <w:rsid w:val="00721630"/>
    <w:rsid w:val="0072549A"/>
    <w:rsid w:val="00726403"/>
    <w:rsid w:val="0072668A"/>
    <w:rsid w:val="00731937"/>
    <w:rsid w:val="007320E9"/>
    <w:rsid w:val="00733B72"/>
    <w:rsid w:val="0073557F"/>
    <w:rsid w:val="00737B9B"/>
    <w:rsid w:val="00744562"/>
    <w:rsid w:val="00744859"/>
    <w:rsid w:val="00744EDD"/>
    <w:rsid w:val="007450A5"/>
    <w:rsid w:val="007508B3"/>
    <w:rsid w:val="0075262B"/>
    <w:rsid w:val="0075295F"/>
    <w:rsid w:val="00753839"/>
    <w:rsid w:val="00753869"/>
    <w:rsid w:val="00756DFF"/>
    <w:rsid w:val="007651F6"/>
    <w:rsid w:val="007661B2"/>
    <w:rsid w:val="00767B01"/>
    <w:rsid w:val="00773022"/>
    <w:rsid w:val="00777988"/>
    <w:rsid w:val="00781DA3"/>
    <w:rsid w:val="00785F8A"/>
    <w:rsid w:val="00787C14"/>
    <w:rsid w:val="007A0470"/>
    <w:rsid w:val="007A09D5"/>
    <w:rsid w:val="007A199E"/>
    <w:rsid w:val="007A1C12"/>
    <w:rsid w:val="007A36A1"/>
    <w:rsid w:val="007A3D94"/>
    <w:rsid w:val="007A7716"/>
    <w:rsid w:val="007B199B"/>
    <w:rsid w:val="007B259A"/>
    <w:rsid w:val="007B3C94"/>
    <w:rsid w:val="007B63FF"/>
    <w:rsid w:val="007B7331"/>
    <w:rsid w:val="007C15B8"/>
    <w:rsid w:val="007C23E9"/>
    <w:rsid w:val="007C2728"/>
    <w:rsid w:val="007C56DC"/>
    <w:rsid w:val="007D102E"/>
    <w:rsid w:val="007D194C"/>
    <w:rsid w:val="007D4945"/>
    <w:rsid w:val="007D6A20"/>
    <w:rsid w:val="007E1F79"/>
    <w:rsid w:val="007E42DB"/>
    <w:rsid w:val="007E4A57"/>
    <w:rsid w:val="007E6DBB"/>
    <w:rsid w:val="007E7514"/>
    <w:rsid w:val="007F1F29"/>
    <w:rsid w:val="007F208D"/>
    <w:rsid w:val="007F2713"/>
    <w:rsid w:val="007F4253"/>
    <w:rsid w:val="007F5BD8"/>
    <w:rsid w:val="00800AE2"/>
    <w:rsid w:val="00801751"/>
    <w:rsid w:val="008033FC"/>
    <w:rsid w:val="00804D27"/>
    <w:rsid w:val="00805686"/>
    <w:rsid w:val="0080595A"/>
    <w:rsid w:val="00806FA3"/>
    <w:rsid w:val="00810660"/>
    <w:rsid w:val="008111E5"/>
    <w:rsid w:val="00811D1C"/>
    <w:rsid w:val="00812FB2"/>
    <w:rsid w:val="00814196"/>
    <w:rsid w:val="0081500F"/>
    <w:rsid w:val="00820C86"/>
    <w:rsid w:val="0082336B"/>
    <w:rsid w:val="00825588"/>
    <w:rsid w:val="00832201"/>
    <w:rsid w:val="00832AB7"/>
    <w:rsid w:val="00834D0D"/>
    <w:rsid w:val="00834E0E"/>
    <w:rsid w:val="00835867"/>
    <w:rsid w:val="00836759"/>
    <w:rsid w:val="00840A44"/>
    <w:rsid w:val="00841EF4"/>
    <w:rsid w:val="00843D6D"/>
    <w:rsid w:val="008441E8"/>
    <w:rsid w:val="00845BAC"/>
    <w:rsid w:val="00852493"/>
    <w:rsid w:val="00853679"/>
    <w:rsid w:val="00854D3B"/>
    <w:rsid w:val="0085600C"/>
    <w:rsid w:val="008562D7"/>
    <w:rsid w:val="00856BCC"/>
    <w:rsid w:val="00861E57"/>
    <w:rsid w:val="00863583"/>
    <w:rsid w:val="00866F80"/>
    <w:rsid w:val="008671EE"/>
    <w:rsid w:val="0087021D"/>
    <w:rsid w:val="00871100"/>
    <w:rsid w:val="0087647B"/>
    <w:rsid w:val="008777F0"/>
    <w:rsid w:val="00877C88"/>
    <w:rsid w:val="0088352D"/>
    <w:rsid w:val="00883801"/>
    <w:rsid w:val="0088557C"/>
    <w:rsid w:val="008857BB"/>
    <w:rsid w:val="00890EC2"/>
    <w:rsid w:val="008920B1"/>
    <w:rsid w:val="00897D6B"/>
    <w:rsid w:val="008A1B1A"/>
    <w:rsid w:val="008A33E6"/>
    <w:rsid w:val="008A4C50"/>
    <w:rsid w:val="008A5408"/>
    <w:rsid w:val="008A66C7"/>
    <w:rsid w:val="008B0ACB"/>
    <w:rsid w:val="008B2BA2"/>
    <w:rsid w:val="008B3BCE"/>
    <w:rsid w:val="008B539F"/>
    <w:rsid w:val="008B5B6B"/>
    <w:rsid w:val="008B64CF"/>
    <w:rsid w:val="008C1FB6"/>
    <w:rsid w:val="008C2D3A"/>
    <w:rsid w:val="008C4835"/>
    <w:rsid w:val="008C6EAC"/>
    <w:rsid w:val="008D20B2"/>
    <w:rsid w:val="008D277F"/>
    <w:rsid w:val="008D31E4"/>
    <w:rsid w:val="008D360C"/>
    <w:rsid w:val="008D6987"/>
    <w:rsid w:val="008D736B"/>
    <w:rsid w:val="008E3711"/>
    <w:rsid w:val="008F0176"/>
    <w:rsid w:val="008F3706"/>
    <w:rsid w:val="008F5BD1"/>
    <w:rsid w:val="008F7FF3"/>
    <w:rsid w:val="00900404"/>
    <w:rsid w:val="00900BCE"/>
    <w:rsid w:val="0090270B"/>
    <w:rsid w:val="0090724D"/>
    <w:rsid w:val="009135AC"/>
    <w:rsid w:val="009174C5"/>
    <w:rsid w:val="00924F2D"/>
    <w:rsid w:val="009269E8"/>
    <w:rsid w:val="00927255"/>
    <w:rsid w:val="009307F8"/>
    <w:rsid w:val="0093601F"/>
    <w:rsid w:val="00941A39"/>
    <w:rsid w:val="00942975"/>
    <w:rsid w:val="00945BF5"/>
    <w:rsid w:val="0095213E"/>
    <w:rsid w:val="00953026"/>
    <w:rsid w:val="009545BD"/>
    <w:rsid w:val="009550AF"/>
    <w:rsid w:val="0095532F"/>
    <w:rsid w:val="009562B2"/>
    <w:rsid w:val="00956669"/>
    <w:rsid w:val="00960261"/>
    <w:rsid w:val="00960548"/>
    <w:rsid w:val="00965B27"/>
    <w:rsid w:val="00967E3D"/>
    <w:rsid w:val="00974BFE"/>
    <w:rsid w:val="00980D1C"/>
    <w:rsid w:val="00987833"/>
    <w:rsid w:val="009932A8"/>
    <w:rsid w:val="00994382"/>
    <w:rsid w:val="00995D25"/>
    <w:rsid w:val="0099617C"/>
    <w:rsid w:val="009A0BCD"/>
    <w:rsid w:val="009A2EC1"/>
    <w:rsid w:val="009A3C75"/>
    <w:rsid w:val="009A5544"/>
    <w:rsid w:val="009A75F0"/>
    <w:rsid w:val="009A7CAD"/>
    <w:rsid w:val="009A7EEC"/>
    <w:rsid w:val="009B1F2F"/>
    <w:rsid w:val="009B43A8"/>
    <w:rsid w:val="009B503C"/>
    <w:rsid w:val="009B593C"/>
    <w:rsid w:val="009C24B4"/>
    <w:rsid w:val="009C27D7"/>
    <w:rsid w:val="009D0733"/>
    <w:rsid w:val="009D3BA9"/>
    <w:rsid w:val="009D4438"/>
    <w:rsid w:val="009D6110"/>
    <w:rsid w:val="009E1B50"/>
    <w:rsid w:val="009F1566"/>
    <w:rsid w:val="009F293A"/>
    <w:rsid w:val="009F2ABB"/>
    <w:rsid w:val="009F318D"/>
    <w:rsid w:val="009F3227"/>
    <w:rsid w:val="009F3401"/>
    <w:rsid w:val="009F56F6"/>
    <w:rsid w:val="009F573B"/>
    <w:rsid w:val="009F5F6A"/>
    <w:rsid w:val="00A00131"/>
    <w:rsid w:val="00A00C5D"/>
    <w:rsid w:val="00A03E37"/>
    <w:rsid w:val="00A149E6"/>
    <w:rsid w:val="00A14CF2"/>
    <w:rsid w:val="00A150E4"/>
    <w:rsid w:val="00A1685C"/>
    <w:rsid w:val="00A16B0E"/>
    <w:rsid w:val="00A24B68"/>
    <w:rsid w:val="00A262CF"/>
    <w:rsid w:val="00A2648F"/>
    <w:rsid w:val="00A274EA"/>
    <w:rsid w:val="00A30DBA"/>
    <w:rsid w:val="00A323C0"/>
    <w:rsid w:val="00A33E66"/>
    <w:rsid w:val="00A3457E"/>
    <w:rsid w:val="00A361B0"/>
    <w:rsid w:val="00A42F1D"/>
    <w:rsid w:val="00A43E87"/>
    <w:rsid w:val="00A451B3"/>
    <w:rsid w:val="00A50A8B"/>
    <w:rsid w:val="00A51F16"/>
    <w:rsid w:val="00A52FB2"/>
    <w:rsid w:val="00A5759A"/>
    <w:rsid w:val="00A61AC0"/>
    <w:rsid w:val="00A61F1F"/>
    <w:rsid w:val="00A62D59"/>
    <w:rsid w:val="00A655DC"/>
    <w:rsid w:val="00A6570B"/>
    <w:rsid w:val="00A6588E"/>
    <w:rsid w:val="00A723E6"/>
    <w:rsid w:val="00A7378D"/>
    <w:rsid w:val="00A7560F"/>
    <w:rsid w:val="00A77B69"/>
    <w:rsid w:val="00A821CD"/>
    <w:rsid w:val="00A860B5"/>
    <w:rsid w:val="00A86597"/>
    <w:rsid w:val="00A86DFA"/>
    <w:rsid w:val="00A90921"/>
    <w:rsid w:val="00A92CEC"/>
    <w:rsid w:val="00A941ED"/>
    <w:rsid w:val="00A94C8D"/>
    <w:rsid w:val="00AA0112"/>
    <w:rsid w:val="00AA1B5F"/>
    <w:rsid w:val="00AA4305"/>
    <w:rsid w:val="00AA72AE"/>
    <w:rsid w:val="00AB02C8"/>
    <w:rsid w:val="00AB2A3A"/>
    <w:rsid w:val="00AB5439"/>
    <w:rsid w:val="00AB5EB6"/>
    <w:rsid w:val="00AB64DE"/>
    <w:rsid w:val="00AB6676"/>
    <w:rsid w:val="00AC0499"/>
    <w:rsid w:val="00AC08C9"/>
    <w:rsid w:val="00AC146F"/>
    <w:rsid w:val="00AC396F"/>
    <w:rsid w:val="00AC55BE"/>
    <w:rsid w:val="00AC67F0"/>
    <w:rsid w:val="00AC6C16"/>
    <w:rsid w:val="00AC70E3"/>
    <w:rsid w:val="00AC7259"/>
    <w:rsid w:val="00AD1215"/>
    <w:rsid w:val="00AD2B3D"/>
    <w:rsid w:val="00AD52EE"/>
    <w:rsid w:val="00AD5E75"/>
    <w:rsid w:val="00AD7D55"/>
    <w:rsid w:val="00AE0EB2"/>
    <w:rsid w:val="00AE1CD9"/>
    <w:rsid w:val="00AE7E32"/>
    <w:rsid w:val="00AF0320"/>
    <w:rsid w:val="00AF06C8"/>
    <w:rsid w:val="00AF10BC"/>
    <w:rsid w:val="00AF1CF3"/>
    <w:rsid w:val="00AF240C"/>
    <w:rsid w:val="00AF3421"/>
    <w:rsid w:val="00AF4A79"/>
    <w:rsid w:val="00AF647A"/>
    <w:rsid w:val="00AF6A6E"/>
    <w:rsid w:val="00AF73B2"/>
    <w:rsid w:val="00B02371"/>
    <w:rsid w:val="00B02E29"/>
    <w:rsid w:val="00B05B63"/>
    <w:rsid w:val="00B07CBC"/>
    <w:rsid w:val="00B11144"/>
    <w:rsid w:val="00B25118"/>
    <w:rsid w:val="00B256CA"/>
    <w:rsid w:val="00B25C23"/>
    <w:rsid w:val="00B30288"/>
    <w:rsid w:val="00B317F6"/>
    <w:rsid w:val="00B34949"/>
    <w:rsid w:val="00B35A13"/>
    <w:rsid w:val="00B37382"/>
    <w:rsid w:val="00B402EF"/>
    <w:rsid w:val="00B4210F"/>
    <w:rsid w:val="00B4387A"/>
    <w:rsid w:val="00B44C7B"/>
    <w:rsid w:val="00B45FB9"/>
    <w:rsid w:val="00B46A36"/>
    <w:rsid w:val="00B52875"/>
    <w:rsid w:val="00B52EDB"/>
    <w:rsid w:val="00B56595"/>
    <w:rsid w:val="00B60017"/>
    <w:rsid w:val="00B60189"/>
    <w:rsid w:val="00B621B6"/>
    <w:rsid w:val="00B622A4"/>
    <w:rsid w:val="00B62833"/>
    <w:rsid w:val="00B6648E"/>
    <w:rsid w:val="00B668AA"/>
    <w:rsid w:val="00B723D1"/>
    <w:rsid w:val="00B7272E"/>
    <w:rsid w:val="00B76A37"/>
    <w:rsid w:val="00B82819"/>
    <w:rsid w:val="00B84D14"/>
    <w:rsid w:val="00B8596E"/>
    <w:rsid w:val="00B85A41"/>
    <w:rsid w:val="00B86DC7"/>
    <w:rsid w:val="00B90C1A"/>
    <w:rsid w:val="00B938E9"/>
    <w:rsid w:val="00B9428E"/>
    <w:rsid w:val="00B952A1"/>
    <w:rsid w:val="00BA0882"/>
    <w:rsid w:val="00BA63F3"/>
    <w:rsid w:val="00BB03FD"/>
    <w:rsid w:val="00BB4ED1"/>
    <w:rsid w:val="00BB5A80"/>
    <w:rsid w:val="00BB7615"/>
    <w:rsid w:val="00BC1FC3"/>
    <w:rsid w:val="00BC693A"/>
    <w:rsid w:val="00BD030F"/>
    <w:rsid w:val="00BD28D6"/>
    <w:rsid w:val="00BD32AF"/>
    <w:rsid w:val="00BD33CD"/>
    <w:rsid w:val="00BD3C43"/>
    <w:rsid w:val="00BD475F"/>
    <w:rsid w:val="00BD71DC"/>
    <w:rsid w:val="00BE215B"/>
    <w:rsid w:val="00BE3851"/>
    <w:rsid w:val="00BE4B14"/>
    <w:rsid w:val="00BE5D06"/>
    <w:rsid w:val="00BF0EE6"/>
    <w:rsid w:val="00BF3335"/>
    <w:rsid w:val="00BF3460"/>
    <w:rsid w:val="00BF4FE2"/>
    <w:rsid w:val="00BF53DB"/>
    <w:rsid w:val="00BF6790"/>
    <w:rsid w:val="00BF7773"/>
    <w:rsid w:val="00C02296"/>
    <w:rsid w:val="00C02D73"/>
    <w:rsid w:val="00C035E6"/>
    <w:rsid w:val="00C0405A"/>
    <w:rsid w:val="00C0726D"/>
    <w:rsid w:val="00C11067"/>
    <w:rsid w:val="00C1490F"/>
    <w:rsid w:val="00C14CFE"/>
    <w:rsid w:val="00C21081"/>
    <w:rsid w:val="00C22052"/>
    <w:rsid w:val="00C22D94"/>
    <w:rsid w:val="00C22F9F"/>
    <w:rsid w:val="00C3089D"/>
    <w:rsid w:val="00C358E0"/>
    <w:rsid w:val="00C3750C"/>
    <w:rsid w:val="00C4076F"/>
    <w:rsid w:val="00C42987"/>
    <w:rsid w:val="00C42D52"/>
    <w:rsid w:val="00C443F9"/>
    <w:rsid w:val="00C44A58"/>
    <w:rsid w:val="00C50B86"/>
    <w:rsid w:val="00C52031"/>
    <w:rsid w:val="00C55C07"/>
    <w:rsid w:val="00C56489"/>
    <w:rsid w:val="00C57A9C"/>
    <w:rsid w:val="00C626BA"/>
    <w:rsid w:val="00C64981"/>
    <w:rsid w:val="00C64C4F"/>
    <w:rsid w:val="00C656A3"/>
    <w:rsid w:val="00C6673E"/>
    <w:rsid w:val="00C67C3F"/>
    <w:rsid w:val="00C72434"/>
    <w:rsid w:val="00C733FD"/>
    <w:rsid w:val="00C800F3"/>
    <w:rsid w:val="00C8039D"/>
    <w:rsid w:val="00C822A3"/>
    <w:rsid w:val="00C828AA"/>
    <w:rsid w:val="00C8308B"/>
    <w:rsid w:val="00C835AB"/>
    <w:rsid w:val="00C850EA"/>
    <w:rsid w:val="00C86D8A"/>
    <w:rsid w:val="00C91DE5"/>
    <w:rsid w:val="00C920BB"/>
    <w:rsid w:val="00C948A7"/>
    <w:rsid w:val="00C95FBF"/>
    <w:rsid w:val="00C96173"/>
    <w:rsid w:val="00C96D2F"/>
    <w:rsid w:val="00CA0E20"/>
    <w:rsid w:val="00CA13B4"/>
    <w:rsid w:val="00CA2266"/>
    <w:rsid w:val="00CA33B9"/>
    <w:rsid w:val="00CA632F"/>
    <w:rsid w:val="00CB07FE"/>
    <w:rsid w:val="00CB137B"/>
    <w:rsid w:val="00CB4374"/>
    <w:rsid w:val="00CB5339"/>
    <w:rsid w:val="00CB7563"/>
    <w:rsid w:val="00CC1038"/>
    <w:rsid w:val="00CC1EF1"/>
    <w:rsid w:val="00CC73AD"/>
    <w:rsid w:val="00CD3AB5"/>
    <w:rsid w:val="00CD478A"/>
    <w:rsid w:val="00CD4D4B"/>
    <w:rsid w:val="00CD79F3"/>
    <w:rsid w:val="00CE3F18"/>
    <w:rsid w:val="00CE461B"/>
    <w:rsid w:val="00CE4691"/>
    <w:rsid w:val="00CE7242"/>
    <w:rsid w:val="00CE76EB"/>
    <w:rsid w:val="00CE77AF"/>
    <w:rsid w:val="00CF08EE"/>
    <w:rsid w:val="00CF23A0"/>
    <w:rsid w:val="00CF38AA"/>
    <w:rsid w:val="00CF68BF"/>
    <w:rsid w:val="00D008CD"/>
    <w:rsid w:val="00D01CD8"/>
    <w:rsid w:val="00D02CC7"/>
    <w:rsid w:val="00D05555"/>
    <w:rsid w:val="00D05892"/>
    <w:rsid w:val="00D0714E"/>
    <w:rsid w:val="00D1242B"/>
    <w:rsid w:val="00D16076"/>
    <w:rsid w:val="00D22680"/>
    <w:rsid w:val="00D31533"/>
    <w:rsid w:val="00D35311"/>
    <w:rsid w:val="00D35C94"/>
    <w:rsid w:val="00D36933"/>
    <w:rsid w:val="00D3701E"/>
    <w:rsid w:val="00D46DA2"/>
    <w:rsid w:val="00D475AD"/>
    <w:rsid w:val="00D538F7"/>
    <w:rsid w:val="00D6329E"/>
    <w:rsid w:val="00D74257"/>
    <w:rsid w:val="00D80153"/>
    <w:rsid w:val="00D861D6"/>
    <w:rsid w:val="00D93027"/>
    <w:rsid w:val="00D965F7"/>
    <w:rsid w:val="00DA256E"/>
    <w:rsid w:val="00DA5FAF"/>
    <w:rsid w:val="00DA6340"/>
    <w:rsid w:val="00DA66E8"/>
    <w:rsid w:val="00DB2D87"/>
    <w:rsid w:val="00DB35D8"/>
    <w:rsid w:val="00DB6145"/>
    <w:rsid w:val="00DB65C0"/>
    <w:rsid w:val="00DB710E"/>
    <w:rsid w:val="00DC05D9"/>
    <w:rsid w:val="00DC37B7"/>
    <w:rsid w:val="00DC5D54"/>
    <w:rsid w:val="00DC66CE"/>
    <w:rsid w:val="00DD7199"/>
    <w:rsid w:val="00DD75AF"/>
    <w:rsid w:val="00DE01DB"/>
    <w:rsid w:val="00DE2786"/>
    <w:rsid w:val="00DE2F03"/>
    <w:rsid w:val="00DE4AF8"/>
    <w:rsid w:val="00DE5533"/>
    <w:rsid w:val="00DF001F"/>
    <w:rsid w:val="00DF086F"/>
    <w:rsid w:val="00DF0892"/>
    <w:rsid w:val="00DF16DD"/>
    <w:rsid w:val="00DF1746"/>
    <w:rsid w:val="00DF259D"/>
    <w:rsid w:val="00DF3990"/>
    <w:rsid w:val="00DF3E05"/>
    <w:rsid w:val="00DF5304"/>
    <w:rsid w:val="00DF5F1C"/>
    <w:rsid w:val="00DF6B17"/>
    <w:rsid w:val="00E01D63"/>
    <w:rsid w:val="00E0230A"/>
    <w:rsid w:val="00E036CA"/>
    <w:rsid w:val="00E11933"/>
    <w:rsid w:val="00E11E9B"/>
    <w:rsid w:val="00E16415"/>
    <w:rsid w:val="00E16A35"/>
    <w:rsid w:val="00E17D2C"/>
    <w:rsid w:val="00E22A45"/>
    <w:rsid w:val="00E243CE"/>
    <w:rsid w:val="00E26C46"/>
    <w:rsid w:val="00E321D1"/>
    <w:rsid w:val="00E4063C"/>
    <w:rsid w:val="00E40A81"/>
    <w:rsid w:val="00E40EF6"/>
    <w:rsid w:val="00E428FD"/>
    <w:rsid w:val="00E45336"/>
    <w:rsid w:val="00E46CCD"/>
    <w:rsid w:val="00E47750"/>
    <w:rsid w:val="00E50F9A"/>
    <w:rsid w:val="00E51998"/>
    <w:rsid w:val="00E53650"/>
    <w:rsid w:val="00E53F90"/>
    <w:rsid w:val="00E574E8"/>
    <w:rsid w:val="00E64D6E"/>
    <w:rsid w:val="00E66CB9"/>
    <w:rsid w:val="00E67B4A"/>
    <w:rsid w:val="00E71945"/>
    <w:rsid w:val="00E7558A"/>
    <w:rsid w:val="00E762DC"/>
    <w:rsid w:val="00E76AEE"/>
    <w:rsid w:val="00E77B1F"/>
    <w:rsid w:val="00E8556B"/>
    <w:rsid w:val="00E900C9"/>
    <w:rsid w:val="00E90B6F"/>
    <w:rsid w:val="00E91465"/>
    <w:rsid w:val="00EA0BE3"/>
    <w:rsid w:val="00EA1C88"/>
    <w:rsid w:val="00EA259B"/>
    <w:rsid w:val="00EA4138"/>
    <w:rsid w:val="00EA5698"/>
    <w:rsid w:val="00EB14CE"/>
    <w:rsid w:val="00EB3653"/>
    <w:rsid w:val="00EB3D83"/>
    <w:rsid w:val="00EC4284"/>
    <w:rsid w:val="00EC4A3C"/>
    <w:rsid w:val="00EC4AF1"/>
    <w:rsid w:val="00EC5AF9"/>
    <w:rsid w:val="00ED0B47"/>
    <w:rsid w:val="00ED1380"/>
    <w:rsid w:val="00ED284C"/>
    <w:rsid w:val="00ED351E"/>
    <w:rsid w:val="00ED5435"/>
    <w:rsid w:val="00ED6E0E"/>
    <w:rsid w:val="00ED7E19"/>
    <w:rsid w:val="00EE0E1D"/>
    <w:rsid w:val="00EE4238"/>
    <w:rsid w:val="00EE4E97"/>
    <w:rsid w:val="00EE6388"/>
    <w:rsid w:val="00EF3352"/>
    <w:rsid w:val="00EF5EF9"/>
    <w:rsid w:val="00EF67F0"/>
    <w:rsid w:val="00EF72DC"/>
    <w:rsid w:val="00F005C0"/>
    <w:rsid w:val="00F00FAF"/>
    <w:rsid w:val="00F02A0B"/>
    <w:rsid w:val="00F047AB"/>
    <w:rsid w:val="00F10575"/>
    <w:rsid w:val="00F14C62"/>
    <w:rsid w:val="00F15BE6"/>
    <w:rsid w:val="00F26652"/>
    <w:rsid w:val="00F30CDF"/>
    <w:rsid w:val="00F3110E"/>
    <w:rsid w:val="00F31A91"/>
    <w:rsid w:val="00F347B9"/>
    <w:rsid w:val="00F37B12"/>
    <w:rsid w:val="00F44266"/>
    <w:rsid w:val="00F5269E"/>
    <w:rsid w:val="00F55ADD"/>
    <w:rsid w:val="00F55E29"/>
    <w:rsid w:val="00F65FC5"/>
    <w:rsid w:val="00F67CD5"/>
    <w:rsid w:val="00F70B18"/>
    <w:rsid w:val="00F70B54"/>
    <w:rsid w:val="00F70C35"/>
    <w:rsid w:val="00F71762"/>
    <w:rsid w:val="00F7291A"/>
    <w:rsid w:val="00F755CB"/>
    <w:rsid w:val="00F777BD"/>
    <w:rsid w:val="00F807C0"/>
    <w:rsid w:val="00F81FBD"/>
    <w:rsid w:val="00F82DD1"/>
    <w:rsid w:val="00F85944"/>
    <w:rsid w:val="00F90D8C"/>
    <w:rsid w:val="00F91D4E"/>
    <w:rsid w:val="00F94A4D"/>
    <w:rsid w:val="00F96446"/>
    <w:rsid w:val="00FA2058"/>
    <w:rsid w:val="00FA2090"/>
    <w:rsid w:val="00FA33B6"/>
    <w:rsid w:val="00FA529A"/>
    <w:rsid w:val="00FA7559"/>
    <w:rsid w:val="00FB2527"/>
    <w:rsid w:val="00FB5074"/>
    <w:rsid w:val="00FB5AEE"/>
    <w:rsid w:val="00FB7088"/>
    <w:rsid w:val="00FC7391"/>
    <w:rsid w:val="00FD53E4"/>
    <w:rsid w:val="00FE172A"/>
    <w:rsid w:val="00FE320C"/>
    <w:rsid w:val="00FE3755"/>
    <w:rsid w:val="00FE392C"/>
    <w:rsid w:val="00FE3A47"/>
    <w:rsid w:val="00FE538E"/>
    <w:rsid w:val="00FF0E0A"/>
    <w:rsid w:val="00FF10EE"/>
    <w:rsid w:val="00FF201D"/>
    <w:rsid w:val="00FF4A66"/>
    <w:rsid w:val="00FF4F4B"/>
    <w:rsid w:val="00FF5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9FDF"/>
  <w15:docId w15:val="{93FE8719-F555-4B4F-9E78-DFDFD5ED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25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1081"/>
    <w:pPr>
      <w:spacing w:after="0" w:line="240" w:lineRule="auto"/>
    </w:pPr>
    <w:rPr>
      <w:sz w:val="20"/>
      <w:szCs w:val="20"/>
    </w:rPr>
  </w:style>
  <w:style w:type="character" w:customStyle="1" w:styleId="FootnoteTextChar">
    <w:name w:val="Footnote Text Char"/>
    <w:basedOn w:val="DefaultParagraphFont"/>
    <w:link w:val="FootnoteText"/>
    <w:uiPriority w:val="99"/>
    <w:rsid w:val="00C21081"/>
    <w:rPr>
      <w:rFonts w:ascii="Times New Roman" w:hAnsi="Times New Roman"/>
      <w:sz w:val="20"/>
      <w:szCs w:val="20"/>
    </w:rPr>
  </w:style>
  <w:style w:type="character" w:styleId="FootnoteReference">
    <w:name w:val="footnote reference"/>
    <w:basedOn w:val="DefaultParagraphFont"/>
    <w:uiPriority w:val="99"/>
    <w:semiHidden/>
    <w:unhideWhenUsed/>
    <w:rsid w:val="00C21081"/>
    <w:rPr>
      <w:vertAlign w:val="superscript"/>
    </w:rPr>
  </w:style>
  <w:style w:type="paragraph" w:styleId="NoSpacing">
    <w:name w:val="No Spacing"/>
    <w:uiPriority w:val="1"/>
    <w:qFormat/>
    <w:rsid w:val="00AA0112"/>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2260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0E3"/>
    <w:rPr>
      <w:rFonts w:ascii="Times New Roman" w:hAnsi="Times New Roman"/>
      <w:sz w:val="20"/>
      <w:szCs w:val="20"/>
    </w:rPr>
  </w:style>
  <w:style w:type="character" w:styleId="EndnoteReference">
    <w:name w:val="endnote reference"/>
    <w:basedOn w:val="DefaultParagraphFont"/>
    <w:uiPriority w:val="99"/>
    <w:semiHidden/>
    <w:unhideWhenUsed/>
    <w:rsid w:val="002260E3"/>
    <w:rPr>
      <w:vertAlign w:val="superscript"/>
    </w:rPr>
  </w:style>
  <w:style w:type="character" w:styleId="Strong">
    <w:name w:val="Strong"/>
    <w:basedOn w:val="DefaultParagraphFont"/>
    <w:uiPriority w:val="22"/>
    <w:qFormat/>
    <w:rsid w:val="00832201"/>
    <w:rPr>
      <w:b/>
      <w:bCs/>
    </w:rPr>
  </w:style>
  <w:style w:type="character" w:styleId="Emphasis">
    <w:name w:val="Emphasis"/>
    <w:basedOn w:val="DefaultParagraphFont"/>
    <w:uiPriority w:val="20"/>
    <w:qFormat/>
    <w:rsid w:val="00832201"/>
    <w:rPr>
      <w:i/>
      <w:iCs/>
    </w:rPr>
  </w:style>
  <w:style w:type="paragraph" w:styleId="Header">
    <w:name w:val="header"/>
    <w:basedOn w:val="Normal"/>
    <w:link w:val="HeaderChar"/>
    <w:uiPriority w:val="99"/>
    <w:unhideWhenUsed/>
    <w:rsid w:val="00B66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48E"/>
    <w:rPr>
      <w:rFonts w:ascii="Times New Roman" w:hAnsi="Times New Roman"/>
      <w:sz w:val="24"/>
    </w:rPr>
  </w:style>
  <w:style w:type="paragraph" w:styleId="Footer">
    <w:name w:val="footer"/>
    <w:basedOn w:val="Normal"/>
    <w:link w:val="FooterChar"/>
    <w:uiPriority w:val="99"/>
    <w:unhideWhenUsed/>
    <w:rsid w:val="00B66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48E"/>
    <w:rPr>
      <w:rFonts w:ascii="Times New Roman" w:hAnsi="Times New Roman"/>
      <w:sz w:val="24"/>
    </w:rPr>
  </w:style>
  <w:style w:type="character" w:styleId="Hyperlink">
    <w:name w:val="Hyperlink"/>
    <w:basedOn w:val="DefaultParagraphFont"/>
    <w:uiPriority w:val="99"/>
    <w:unhideWhenUsed/>
    <w:rsid w:val="00E428FD"/>
    <w:rPr>
      <w:color w:val="0000FF" w:themeColor="hyperlink"/>
      <w:u w:val="single"/>
    </w:rPr>
  </w:style>
  <w:style w:type="character" w:customStyle="1" w:styleId="mdash">
    <w:name w:val="mdash"/>
    <w:basedOn w:val="DefaultParagraphFont"/>
    <w:rsid w:val="0047238E"/>
  </w:style>
  <w:style w:type="character" w:styleId="CommentReference">
    <w:name w:val="annotation reference"/>
    <w:basedOn w:val="DefaultParagraphFont"/>
    <w:uiPriority w:val="99"/>
    <w:semiHidden/>
    <w:unhideWhenUsed/>
    <w:rsid w:val="000B6B2C"/>
    <w:rPr>
      <w:sz w:val="16"/>
      <w:szCs w:val="16"/>
    </w:rPr>
  </w:style>
  <w:style w:type="paragraph" w:styleId="CommentText">
    <w:name w:val="annotation text"/>
    <w:basedOn w:val="Normal"/>
    <w:link w:val="CommentTextChar"/>
    <w:uiPriority w:val="99"/>
    <w:semiHidden/>
    <w:unhideWhenUsed/>
    <w:rsid w:val="000B6B2C"/>
    <w:pPr>
      <w:spacing w:line="240" w:lineRule="auto"/>
    </w:pPr>
    <w:rPr>
      <w:sz w:val="20"/>
      <w:szCs w:val="20"/>
    </w:rPr>
  </w:style>
  <w:style w:type="character" w:customStyle="1" w:styleId="CommentTextChar">
    <w:name w:val="Comment Text Char"/>
    <w:basedOn w:val="DefaultParagraphFont"/>
    <w:link w:val="CommentText"/>
    <w:uiPriority w:val="99"/>
    <w:semiHidden/>
    <w:rsid w:val="000B6B2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B6B2C"/>
    <w:rPr>
      <w:b/>
      <w:bCs/>
    </w:rPr>
  </w:style>
  <w:style w:type="character" w:customStyle="1" w:styleId="CommentSubjectChar">
    <w:name w:val="Comment Subject Char"/>
    <w:basedOn w:val="CommentTextChar"/>
    <w:link w:val="CommentSubject"/>
    <w:uiPriority w:val="99"/>
    <w:semiHidden/>
    <w:rsid w:val="000B6B2C"/>
    <w:rPr>
      <w:rFonts w:ascii="Times New Roman" w:hAnsi="Times New Roman"/>
      <w:b/>
      <w:bCs/>
      <w:sz w:val="20"/>
      <w:szCs w:val="20"/>
    </w:rPr>
  </w:style>
  <w:style w:type="paragraph" w:styleId="BalloonText">
    <w:name w:val="Balloon Text"/>
    <w:basedOn w:val="Normal"/>
    <w:link w:val="BalloonTextChar"/>
    <w:uiPriority w:val="99"/>
    <w:semiHidden/>
    <w:unhideWhenUsed/>
    <w:rsid w:val="000B6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584651">
      <w:bodyDiv w:val="1"/>
      <w:marLeft w:val="0"/>
      <w:marRight w:val="0"/>
      <w:marTop w:val="0"/>
      <w:marBottom w:val="0"/>
      <w:divBdr>
        <w:top w:val="none" w:sz="0" w:space="0" w:color="auto"/>
        <w:left w:val="none" w:sz="0" w:space="0" w:color="auto"/>
        <w:bottom w:val="none" w:sz="0" w:space="0" w:color="auto"/>
        <w:right w:val="none" w:sz="0" w:space="0" w:color="auto"/>
      </w:divBdr>
      <w:divsChild>
        <w:div w:id="292756015">
          <w:marLeft w:val="0"/>
          <w:marRight w:val="0"/>
          <w:marTop w:val="0"/>
          <w:marBottom w:val="0"/>
          <w:divBdr>
            <w:top w:val="none" w:sz="0" w:space="0" w:color="auto"/>
            <w:left w:val="none" w:sz="0" w:space="0" w:color="auto"/>
            <w:bottom w:val="none" w:sz="0" w:space="0" w:color="auto"/>
            <w:right w:val="none" w:sz="0" w:space="0" w:color="auto"/>
          </w:divBdr>
        </w:div>
        <w:div w:id="496926697">
          <w:marLeft w:val="0"/>
          <w:marRight w:val="0"/>
          <w:marTop w:val="0"/>
          <w:marBottom w:val="0"/>
          <w:divBdr>
            <w:top w:val="none" w:sz="0" w:space="0" w:color="auto"/>
            <w:left w:val="none" w:sz="0" w:space="0" w:color="auto"/>
            <w:bottom w:val="none" w:sz="0" w:space="0" w:color="auto"/>
            <w:right w:val="none" w:sz="0" w:space="0" w:color="auto"/>
          </w:divBdr>
          <w:divsChild>
            <w:div w:id="2129199227">
              <w:marLeft w:val="0"/>
              <w:marRight w:val="0"/>
              <w:marTop w:val="0"/>
              <w:marBottom w:val="0"/>
              <w:divBdr>
                <w:top w:val="none" w:sz="0" w:space="0" w:color="auto"/>
                <w:left w:val="none" w:sz="0" w:space="0" w:color="auto"/>
                <w:bottom w:val="none" w:sz="0" w:space="0" w:color="auto"/>
                <w:right w:val="none" w:sz="0" w:space="0" w:color="auto"/>
              </w:divBdr>
            </w:div>
            <w:div w:id="2093769273">
              <w:marLeft w:val="0"/>
              <w:marRight w:val="0"/>
              <w:marTop w:val="0"/>
              <w:marBottom w:val="0"/>
              <w:divBdr>
                <w:top w:val="none" w:sz="0" w:space="0" w:color="auto"/>
                <w:left w:val="none" w:sz="0" w:space="0" w:color="auto"/>
                <w:bottom w:val="none" w:sz="0" w:space="0" w:color="auto"/>
                <w:right w:val="none" w:sz="0" w:space="0" w:color="auto"/>
              </w:divBdr>
            </w:div>
            <w:div w:id="1077290610">
              <w:marLeft w:val="0"/>
              <w:marRight w:val="0"/>
              <w:marTop w:val="0"/>
              <w:marBottom w:val="0"/>
              <w:divBdr>
                <w:top w:val="none" w:sz="0" w:space="0" w:color="auto"/>
                <w:left w:val="none" w:sz="0" w:space="0" w:color="auto"/>
                <w:bottom w:val="none" w:sz="0" w:space="0" w:color="auto"/>
                <w:right w:val="none" w:sz="0" w:space="0" w:color="auto"/>
              </w:divBdr>
            </w:div>
            <w:div w:id="16827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F47314-0FC1-420B-A46A-54E6E485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8004</Words>
  <Characters>45625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IsaacWilk</dc:creator>
  <cp:lastModifiedBy>Jackie Nelson</cp:lastModifiedBy>
  <cp:revision>2</cp:revision>
  <cp:lastPrinted>2015-05-28T19:43:00Z</cp:lastPrinted>
  <dcterms:created xsi:type="dcterms:W3CDTF">2020-08-06T15:34:00Z</dcterms:created>
  <dcterms:modified xsi:type="dcterms:W3CDTF">2020-08-06T15:34:00Z</dcterms:modified>
</cp:coreProperties>
</file>